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07B" w:rsidRPr="00EE6891" w:rsidRDefault="004A5D30" w:rsidP="0013270C">
      <w:pPr>
        <w:autoSpaceDE w:val="0"/>
        <w:autoSpaceDN w:val="0"/>
        <w:adjustRightInd w:val="0"/>
        <w:spacing w:after="0" w:line="240" w:lineRule="auto"/>
        <w:jc w:val="both"/>
        <w:rPr>
          <w:rFonts w:cs="Times New Roman"/>
          <w:b/>
          <w:color w:val="4472C4" w:themeColor="accent5"/>
          <w:sz w:val="26"/>
        </w:rPr>
      </w:pPr>
      <w:bookmarkStart w:id="0" w:name="_GoBack"/>
      <w:bookmarkEnd w:id="0"/>
      <w:r w:rsidRPr="00EE6891">
        <w:rPr>
          <w:noProof/>
          <w:lang w:val="en-GB" w:eastAsia="en-GB"/>
        </w:rPr>
        <w:drawing>
          <wp:anchor distT="0" distB="0" distL="114300" distR="114300" simplePos="0" relativeHeight="251659264" behindDoc="0" locked="0" layoutInCell="1" allowOverlap="1" wp14:anchorId="221E9754" wp14:editId="0AA0455D">
            <wp:simplePos x="0" y="0"/>
            <wp:positionH relativeFrom="column">
              <wp:posOffset>3714750</wp:posOffset>
            </wp:positionH>
            <wp:positionV relativeFrom="paragraph">
              <wp:posOffset>-180975</wp:posOffset>
            </wp:positionV>
            <wp:extent cx="2000250" cy="895350"/>
            <wp:effectExtent l="0" t="0" r="0" b="0"/>
            <wp:wrapNone/>
            <wp:docPr id="1" name="Picture 1" descr="UN_Women_English_Blue_Small_AL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_Women_English_Blue_Small_ALON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0250" cy="895350"/>
                    </a:xfrm>
                    <a:prstGeom prst="rect">
                      <a:avLst/>
                    </a:prstGeom>
                    <a:noFill/>
                  </pic:spPr>
                </pic:pic>
              </a:graphicData>
            </a:graphic>
            <wp14:sizeRelH relativeFrom="page">
              <wp14:pctWidth>0</wp14:pctWidth>
            </wp14:sizeRelH>
            <wp14:sizeRelV relativeFrom="page">
              <wp14:pctHeight>0</wp14:pctHeight>
            </wp14:sizeRelV>
          </wp:anchor>
        </w:drawing>
      </w:r>
    </w:p>
    <w:p w:rsidR="004A5D30" w:rsidRPr="00EE6891" w:rsidRDefault="004A5D30" w:rsidP="0013270C">
      <w:pPr>
        <w:autoSpaceDE w:val="0"/>
        <w:autoSpaceDN w:val="0"/>
        <w:adjustRightInd w:val="0"/>
        <w:spacing w:after="0" w:line="240" w:lineRule="auto"/>
        <w:jc w:val="both"/>
        <w:rPr>
          <w:rFonts w:cs="Times New Roman"/>
          <w:b/>
          <w:color w:val="4472C4" w:themeColor="accent5"/>
          <w:sz w:val="26"/>
        </w:rPr>
      </w:pPr>
    </w:p>
    <w:p w:rsidR="004A5D30" w:rsidRPr="00EE6891" w:rsidRDefault="004A5D30" w:rsidP="0013270C">
      <w:pPr>
        <w:autoSpaceDE w:val="0"/>
        <w:autoSpaceDN w:val="0"/>
        <w:adjustRightInd w:val="0"/>
        <w:spacing w:after="0" w:line="240" w:lineRule="auto"/>
        <w:jc w:val="both"/>
        <w:rPr>
          <w:rFonts w:cs="Times New Roman"/>
          <w:b/>
          <w:color w:val="4472C4" w:themeColor="accent5"/>
          <w:sz w:val="26"/>
        </w:rPr>
      </w:pPr>
    </w:p>
    <w:p w:rsidR="004A5D30" w:rsidRPr="00EE6891" w:rsidRDefault="004A5D30" w:rsidP="0013270C">
      <w:pPr>
        <w:autoSpaceDE w:val="0"/>
        <w:autoSpaceDN w:val="0"/>
        <w:adjustRightInd w:val="0"/>
        <w:spacing w:after="0" w:line="240" w:lineRule="auto"/>
        <w:jc w:val="both"/>
        <w:rPr>
          <w:rFonts w:cs="Times New Roman"/>
          <w:b/>
          <w:color w:val="4472C4" w:themeColor="accent5"/>
          <w:sz w:val="26"/>
        </w:rPr>
      </w:pPr>
    </w:p>
    <w:p w:rsidR="00AD307B" w:rsidRPr="00FB1E78" w:rsidRDefault="00AD307B" w:rsidP="0013270C">
      <w:pPr>
        <w:autoSpaceDE w:val="0"/>
        <w:autoSpaceDN w:val="0"/>
        <w:adjustRightInd w:val="0"/>
        <w:spacing w:after="0" w:line="240" w:lineRule="auto"/>
        <w:jc w:val="both"/>
        <w:rPr>
          <w:rFonts w:cs="Times New Roman"/>
          <w:b/>
          <w:color w:val="4472C4" w:themeColor="accent5"/>
          <w:sz w:val="30"/>
        </w:rPr>
      </w:pPr>
      <w:r w:rsidRPr="00FB1E78">
        <w:rPr>
          <w:rFonts w:cs="Times New Roman"/>
          <w:b/>
          <w:color w:val="4472C4" w:themeColor="accent5"/>
          <w:sz w:val="30"/>
        </w:rPr>
        <w:t xml:space="preserve">The post-2015 development framework: </w:t>
      </w:r>
    </w:p>
    <w:p w:rsidR="00AD307B" w:rsidRPr="00FB1E78" w:rsidRDefault="00EE6891" w:rsidP="00555A1F">
      <w:pPr>
        <w:pBdr>
          <w:bottom w:val="single" w:sz="4" w:space="1" w:color="auto"/>
        </w:pBdr>
        <w:autoSpaceDE w:val="0"/>
        <w:autoSpaceDN w:val="0"/>
        <w:adjustRightInd w:val="0"/>
        <w:spacing w:after="0" w:line="240" w:lineRule="auto"/>
        <w:jc w:val="both"/>
        <w:rPr>
          <w:rFonts w:cs="Times New Roman"/>
          <w:b/>
          <w:color w:val="4472C4" w:themeColor="accent5"/>
          <w:sz w:val="30"/>
        </w:rPr>
      </w:pPr>
      <w:r w:rsidRPr="00FB1E78">
        <w:rPr>
          <w:rFonts w:cs="Times New Roman"/>
          <w:b/>
          <w:color w:val="4472C4" w:themeColor="accent5"/>
          <w:sz w:val="30"/>
        </w:rPr>
        <w:t>Building a</w:t>
      </w:r>
      <w:r w:rsidR="00AD307B" w:rsidRPr="00FB1E78">
        <w:rPr>
          <w:rFonts w:cs="Times New Roman"/>
          <w:b/>
          <w:color w:val="4472C4" w:themeColor="accent5"/>
          <w:sz w:val="30"/>
        </w:rPr>
        <w:t xml:space="preserve"> case for an indicator on local government</w:t>
      </w:r>
    </w:p>
    <w:p w:rsidR="00AD307B" w:rsidRPr="00EE6891" w:rsidRDefault="00AD307B" w:rsidP="0013270C">
      <w:pPr>
        <w:autoSpaceDE w:val="0"/>
        <w:autoSpaceDN w:val="0"/>
        <w:adjustRightInd w:val="0"/>
        <w:spacing w:after="0" w:line="240" w:lineRule="auto"/>
        <w:jc w:val="both"/>
        <w:rPr>
          <w:rFonts w:cs="Times New Roman"/>
        </w:rPr>
      </w:pPr>
    </w:p>
    <w:p w:rsidR="00C43C50" w:rsidRDefault="00C43C50" w:rsidP="0013270C">
      <w:pPr>
        <w:autoSpaceDE w:val="0"/>
        <w:autoSpaceDN w:val="0"/>
        <w:adjustRightInd w:val="0"/>
        <w:spacing w:after="0" w:line="240" w:lineRule="auto"/>
        <w:jc w:val="both"/>
        <w:rPr>
          <w:rFonts w:cs="Arial"/>
          <w:b/>
          <w:color w:val="4472C4" w:themeColor="accent5"/>
          <w:sz w:val="26"/>
        </w:rPr>
      </w:pPr>
      <w:r>
        <w:rPr>
          <w:rFonts w:cs="Arial"/>
          <w:b/>
          <w:color w:val="4472C4" w:themeColor="accent5"/>
          <w:sz w:val="26"/>
        </w:rPr>
        <w:t>The indicator</w:t>
      </w:r>
    </w:p>
    <w:p w:rsidR="00C43C50" w:rsidRPr="00C43C50" w:rsidRDefault="00C43C50" w:rsidP="0013270C">
      <w:pPr>
        <w:autoSpaceDE w:val="0"/>
        <w:autoSpaceDN w:val="0"/>
        <w:adjustRightInd w:val="0"/>
        <w:spacing w:after="0" w:line="240" w:lineRule="auto"/>
        <w:jc w:val="both"/>
        <w:rPr>
          <w:rFonts w:cs="Arial"/>
          <w:color w:val="000000"/>
        </w:rPr>
      </w:pPr>
    </w:p>
    <w:p w:rsidR="00C43C50" w:rsidRPr="00C43C50" w:rsidRDefault="00C43C50" w:rsidP="0013270C">
      <w:pPr>
        <w:autoSpaceDE w:val="0"/>
        <w:autoSpaceDN w:val="0"/>
        <w:adjustRightInd w:val="0"/>
        <w:spacing w:after="0" w:line="240" w:lineRule="auto"/>
        <w:jc w:val="both"/>
        <w:rPr>
          <w:rFonts w:cs="Arial"/>
          <w:b/>
          <w:color w:val="000000"/>
        </w:rPr>
      </w:pPr>
      <w:r>
        <w:rPr>
          <w:rFonts w:cs="Arial"/>
          <w:b/>
          <w:color w:val="000000"/>
        </w:rPr>
        <w:t xml:space="preserve">5.5.1: </w:t>
      </w:r>
      <w:r w:rsidRPr="00C43C50">
        <w:rPr>
          <w:rFonts w:cs="Arial"/>
          <w:b/>
          <w:color w:val="000000"/>
        </w:rPr>
        <w:t>Proportion of seats held by women in local governments</w:t>
      </w:r>
    </w:p>
    <w:p w:rsidR="00C43C50" w:rsidRDefault="00C43C50" w:rsidP="0013270C">
      <w:pPr>
        <w:autoSpaceDE w:val="0"/>
        <w:autoSpaceDN w:val="0"/>
        <w:adjustRightInd w:val="0"/>
        <w:spacing w:after="0" w:line="240" w:lineRule="auto"/>
        <w:jc w:val="both"/>
        <w:rPr>
          <w:rFonts w:cs="Arial"/>
          <w:color w:val="000000"/>
        </w:rPr>
      </w:pPr>
    </w:p>
    <w:p w:rsidR="00105E7B" w:rsidRDefault="00105E7B" w:rsidP="0013270C">
      <w:pPr>
        <w:autoSpaceDE w:val="0"/>
        <w:autoSpaceDN w:val="0"/>
        <w:adjustRightInd w:val="0"/>
        <w:spacing w:after="0" w:line="240" w:lineRule="auto"/>
        <w:jc w:val="both"/>
        <w:rPr>
          <w:rFonts w:cs="Arial"/>
          <w:color w:val="000000"/>
        </w:rPr>
      </w:pPr>
      <w:r>
        <w:rPr>
          <w:rFonts w:cs="Arial"/>
          <w:color w:val="000000"/>
        </w:rPr>
        <w:t xml:space="preserve">The indicator would measure the </w:t>
      </w:r>
      <w:r w:rsidR="00205235">
        <w:rPr>
          <w:rFonts w:cs="Arial"/>
          <w:color w:val="000000"/>
        </w:rPr>
        <w:t xml:space="preserve">proportion </w:t>
      </w:r>
      <w:r>
        <w:rPr>
          <w:rFonts w:cs="Arial"/>
          <w:color w:val="000000"/>
        </w:rPr>
        <w:t>of seats held by women across local government, compared with men holding those seats, in each reporting country.</w:t>
      </w:r>
    </w:p>
    <w:p w:rsidR="00105E7B" w:rsidRDefault="00105E7B" w:rsidP="0013270C">
      <w:pPr>
        <w:autoSpaceDE w:val="0"/>
        <w:autoSpaceDN w:val="0"/>
        <w:adjustRightInd w:val="0"/>
        <w:spacing w:after="0" w:line="240" w:lineRule="auto"/>
        <w:jc w:val="both"/>
        <w:rPr>
          <w:rFonts w:cs="Arial"/>
          <w:color w:val="000000"/>
        </w:rPr>
      </w:pPr>
    </w:p>
    <w:p w:rsidR="00C43C50" w:rsidRDefault="00C43C50" w:rsidP="0013270C">
      <w:pPr>
        <w:autoSpaceDE w:val="0"/>
        <w:autoSpaceDN w:val="0"/>
        <w:adjustRightInd w:val="0"/>
        <w:spacing w:after="0" w:line="240" w:lineRule="auto"/>
        <w:jc w:val="both"/>
        <w:rPr>
          <w:rFonts w:cs="Arial"/>
          <w:b/>
          <w:color w:val="4472C4" w:themeColor="accent5"/>
          <w:sz w:val="26"/>
        </w:rPr>
      </w:pPr>
      <w:r>
        <w:rPr>
          <w:rFonts w:cs="Arial"/>
          <w:b/>
          <w:color w:val="4472C4" w:themeColor="accent5"/>
          <w:sz w:val="26"/>
        </w:rPr>
        <w:t>Justification</w:t>
      </w:r>
    </w:p>
    <w:p w:rsidR="00C43C50" w:rsidRDefault="00C43C50" w:rsidP="00C43C50">
      <w:pPr>
        <w:autoSpaceDE w:val="0"/>
        <w:autoSpaceDN w:val="0"/>
        <w:adjustRightInd w:val="0"/>
        <w:spacing w:after="0" w:line="240" w:lineRule="auto"/>
        <w:jc w:val="both"/>
        <w:rPr>
          <w:rFonts w:cs="Arial"/>
          <w:color w:val="000000"/>
        </w:rPr>
      </w:pPr>
      <w:r w:rsidRPr="00B2583D">
        <w:rPr>
          <w:rFonts w:cs="Arial"/>
          <w:color w:val="000000"/>
        </w:rPr>
        <w:t xml:space="preserve">Women participate in politics </w:t>
      </w:r>
      <w:r>
        <w:rPr>
          <w:rFonts w:cs="Arial"/>
          <w:color w:val="000000"/>
        </w:rPr>
        <w:t xml:space="preserve">and decision-making </w:t>
      </w:r>
      <w:r w:rsidRPr="00B2583D">
        <w:rPr>
          <w:rFonts w:cs="Arial"/>
          <w:color w:val="000000"/>
        </w:rPr>
        <w:t xml:space="preserve">at all levels, in different functions and </w:t>
      </w:r>
      <w:r>
        <w:rPr>
          <w:rFonts w:cs="Arial"/>
          <w:color w:val="000000"/>
        </w:rPr>
        <w:t xml:space="preserve">across all </w:t>
      </w:r>
      <w:r w:rsidRPr="00B2583D">
        <w:rPr>
          <w:rFonts w:cs="Arial"/>
          <w:color w:val="000000"/>
        </w:rPr>
        <w:t>spheres of government. They may participate as voters, candidates for local, regional and national elections, members of parliament</w:t>
      </w:r>
      <w:r>
        <w:rPr>
          <w:rFonts w:cs="Arial"/>
          <w:color w:val="000000"/>
        </w:rPr>
        <w:t xml:space="preserve"> or local council</w:t>
      </w:r>
      <w:r w:rsidRPr="00B2583D">
        <w:rPr>
          <w:rFonts w:cs="Arial"/>
          <w:color w:val="000000"/>
        </w:rPr>
        <w:t xml:space="preserve">, heads of state and government, ministers, members of political parties, trade unions or business associations, or as electoral administrators. </w:t>
      </w:r>
    </w:p>
    <w:p w:rsidR="00C43C50" w:rsidRDefault="00C43C50" w:rsidP="00C43C50">
      <w:pPr>
        <w:autoSpaceDE w:val="0"/>
        <w:autoSpaceDN w:val="0"/>
        <w:adjustRightInd w:val="0"/>
        <w:spacing w:after="0" w:line="240" w:lineRule="auto"/>
        <w:jc w:val="both"/>
        <w:rPr>
          <w:rFonts w:cs="Arial"/>
          <w:color w:val="000000"/>
        </w:rPr>
      </w:pPr>
    </w:p>
    <w:p w:rsidR="00C43C50" w:rsidRDefault="00C43C50" w:rsidP="00C43C50">
      <w:pPr>
        <w:autoSpaceDE w:val="0"/>
        <w:autoSpaceDN w:val="0"/>
        <w:adjustRightInd w:val="0"/>
        <w:spacing w:after="0" w:line="240" w:lineRule="auto"/>
        <w:jc w:val="both"/>
        <w:rPr>
          <w:rFonts w:cs="Arial"/>
          <w:color w:val="000000"/>
        </w:rPr>
      </w:pPr>
      <w:r>
        <w:rPr>
          <w:rFonts w:cs="Arial"/>
          <w:color w:val="000000"/>
        </w:rPr>
        <w:t>Capturing an accurate assessment of women’s representation across these different forms of political participation has been difficult, however.</w:t>
      </w:r>
      <w:r w:rsidR="00EF3330">
        <w:rPr>
          <w:rFonts w:cs="Arial"/>
          <w:color w:val="000000"/>
        </w:rPr>
        <w:t xml:space="preserve"> The standard measure of women’s political participation and involvement in decision-making, used to track progress for the Millennium Development Goals, was the proportion of seats held by women in national parliaments. In many respects, the existence and quality of this data has meant that other areas of political participation have not been paid sufficient attention.</w:t>
      </w:r>
    </w:p>
    <w:p w:rsidR="00C43C50" w:rsidRDefault="00C43C50" w:rsidP="00C43C50">
      <w:pPr>
        <w:autoSpaceDE w:val="0"/>
        <w:autoSpaceDN w:val="0"/>
        <w:adjustRightInd w:val="0"/>
        <w:spacing w:after="0" w:line="240" w:lineRule="auto"/>
        <w:jc w:val="both"/>
        <w:rPr>
          <w:rFonts w:cs="Arial"/>
          <w:color w:val="000000"/>
        </w:rPr>
      </w:pPr>
    </w:p>
    <w:p w:rsidR="00EF3330" w:rsidRDefault="00205235" w:rsidP="00C43C50">
      <w:pPr>
        <w:autoSpaceDE w:val="0"/>
        <w:autoSpaceDN w:val="0"/>
        <w:adjustRightInd w:val="0"/>
        <w:spacing w:after="0" w:line="240" w:lineRule="auto"/>
        <w:jc w:val="both"/>
        <w:rPr>
          <w:rFonts w:cs="Arial"/>
          <w:color w:val="000000"/>
        </w:rPr>
      </w:pPr>
      <w:r>
        <w:rPr>
          <w:rFonts w:cs="Arial"/>
          <w:color w:val="000000"/>
        </w:rPr>
        <w:t>Measuring women’s participation in</w:t>
      </w:r>
      <w:r w:rsidR="00C43C50" w:rsidRPr="00EE6891">
        <w:rPr>
          <w:rFonts w:cs="Arial"/>
          <w:color w:val="000000"/>
        </w:rPr>
        <w:t xml:space="preserve"> local government</w:t>
      </w:r>
      <w:r>
        <w:rPr>
          <w:rFonts w:cs="Arial"/>
          <w:color w:val="000000"/>
        </w:rPr>
        <w:t xml:space="preserve"> is an additional</w:t>
      </w:r>
      <w:r w:rsidR="00EF3330">
        <w:rPr>
          <w:rFonts w:cs="Arial"/>
          <w:color w:val="000000"/>
        </w:rPr>
        <w:t>, but equally important</w:t>
      </w:r>
      <w:r>
        <w:rPr>
          <w:rFonts w:cs="Arial"/>
          <w:color w:val="000000"/>
        </w:rPr>
        <w:t xml:space="preserve"> measure </w:t>
      </w:r>
      <w:r w:rsidR="00EF3330">
        <w:rPr>
          <w:rFonts w:cs="Arial"/>
          <w:color w:val="000000"/>
        </w:rPr>
        <w:t xml:space="preserve">of women’s political participation and decision-making, </w:t>
      </w:r>
      <w:r>
        <w:rPr>
          <w:rFonts w:cs="Arial"/>
          <w:color w:val="000000"/>
        </w:rPr>
        <w:t>because</w:t>
      </w:r>
      <w:r w:rsidR="00EF3330">
        <w:rPr>
          <w:rFonts w:cs="Arial"/>
          <w:color w:val="000000"/>
        </w:rPr>
        <w:t xml:space="preserve"> of the responsibilities of local governments and the significantly higher number of opportunities (that is seats) available to women candidates at this level. Women’s entry </w:t>
      </w:r>
      <w:r w:rsidR="00016BED">
        <w:rPr>
          <w:rFonts w:cs="Arial"/>
          <w:color w:val="000000"/>
        </w:rPr>
        <w:t>in</w:t>
      </w:r>
      <w:r w:rsidR="00EF3330">
        <w:rPr>
          <w:rFonts w:cs="Arial"/>
          <w:color w:val="000000"/>
        </w:rPr>
        <w:t>to local politics has the potential to influence a wide range of policy decisions and local community programmes.</w:t>
      </w:r>
    </w:p>
    <w:p w:rsidR="00EF3330" w:rsidRDefault="00EF3330" w:rsidP="00C43C50">
      <w:pPr>
        <w:autoSpaceDE w:val="0"/>
        <w:autoSpaceDN w:val="0"/>
        <w:adjustRightInd w:val="0"/>
        <w:spacing w:after="0" w:line="240" w:lineRule="auto"/>
        <w:jc w:val="both"/>
        <w:rPr>
          <w:rFonts w:cs="Arial"/>
          <w:color w:val="000000"/>
        </w:rPr>
      </w:pPr>
    </w:p>
    <w:p w:rsidR="00C43C50" w:rsidRPr="00EE6891" w:rsidRDefault="00205235" w:rsidP="00C43C50">
      <w:pPr>
        <w:autoSpaceDE w:val="0"/>
        <w:autoSpaceDN w:val="0"/>
        <w:adjustRightInd w:val="0"/>
        <w:spacing w:after="0" w:line="240" w:lineRule="auto"/>
        <w:jc w:val="both"/>
        <w:rPr>
          <w:rFonts w:cs="Arial"/>
          <w:color w:val="000000"/>
        </w:rPr>
      </w:pPr>
      <w:r>
        <w:rPr>
          <w:rFonts w:cs="Arial"/>
          <w:color w:val="000000"/>
        </w:rPr>
        <w:t>However, t</w:t>
      </w:r>
      <w:r w:rsidR="00C43C50" w:rsidRPr="00EE6891">
        <w:rPr>
          <w:rFonts w:cs="Arial"/>
          <w:color w:val="000000"/>
        </w:rPr>
        <w:t>he available data is limited</w:t>
      </w:r>
      <w:r w:rsidR="00C43C50">
        <w:rPr>
          <w:rFonts w:cs="Arial"/>
          <w:color w:val="000000"/>
        </w:rPr>
        <w:t>; it is</w:t>
      </w:r>
      <w:r w:rsidR="00C43C50" w:rsidRPr="00EE6891">
        <w:rPr>
          <w:rFonts w:cs="Arial"/>
          <w:color w:val="000000"/>
        </w:rPr>
        <w:t xml:space="preserve"> neither comprehensive </w:t>
      </w:r>
      <w:r w:rsidR="00C43C50">
        <w:rPr>
          <w:rFonts w:cs="Arial"/>
          <w:color w:val="000000"/>
        </w:rPr>
        <w:t xml:space="preserve">across all countries, </w:t>
      </w:r>
      <w:r w:rsidR="00C43C50" w:rsidRPr="00EE6891">
        <w:rPr>
          <w:rFonts w:cs="Arial"/>
          <w:color w:val="000000"/>
        </w:rPr>
        <w:t xml:space="preserve">nor regularly updated. Data from the United Nations Statistical Division’s 2010 edition of </w:t>
      </w:r>
      <w:r w:rsidR="00C43C50" w:rsidRPr="00EE6891">
        <w:rPr>
          <w:rFonts w:cs="Arial"/>
          <w:i/>
          <w:color w:val="000000"/>
        </w:rPr>
        <w:t>The World’s Women</w:t>
      </w:r>
      <w:r w:rsidR="00C43C50">
        <w:rPr>
          <w:rFonts w:cs="Arial"/>
          <w:color w:val="000000"/>
        </w:rPr>
        <w:t>, for example,</w:t>
      </w:r>
      <w:r w:rsidR="00C43C50" w:rsidRPr="00EE6891">
        <w:rPr>
          <w:rFonts w:cs="Arial"/>
          <w:color w:val="000000"/>
        </w:rPr>
        <w:t xml:space="preserve"> show selected regional averages, with a low of 8 percent in Northern Africa to a high of 30 percent in sub-Saharan Africa. Averages across Latin America and Europe ranged from 24 to 29 percent and Asia reported averages below 20 percent.</w:t>
      </w:r>
      <w:r w:rsidR="00C43C50">
        <w:rPr>
          <w:rFonts w:cs="Arial"/>
          <w:color w:val="000000"/>
        </w:rPr>
        <w:t xml:space="preserve"> Drawing meaningful conclusions from this data is </w:t>
      </w:r>
      <w:r w:rsidR="00EF3330">
        <w:rPr>
          <w:rFonts w:cs="Arial"/>
          <w:color w:val="000000"/>
        </w:rPr>
        <w:t xml:space="preserve">therefore </w:t>
      </w:r>
      <w:r w:rsidR="00C43C50">
        <w:rPr>
          <w:rFonts w:cs="Arial"/>
          <w:color w:val="000000"/>
        </w:rPr>
        <w:t>difficult.</w:t>
      </w:r>
    </w:p>
    <w:p w:rsidR="00C43C50" w:rsidRDefault="00C43C50" w:rsidP="00C43C50">
      <w:pPr>
        <w:autoSpaceDE w:val="0"/>
        <w:autoSpaceDN w:val="0"/>
        <w:adjustRightInd w:val="0"/>
        <w:spacing w:after="0" w:line="240" w:lineRule="auto"/>
        <w:jc w:val="both"/>
        <w:rPr>
          <w:rFonts w:cs="Arial"/>
          <w:color w:val="000000"/>
        </w:rPr>
      </w:pPr>
    </w:p>
    <w:p w:rsidR="00C43C50" w:rsidRDefault="00C43C50" w:rsidP="00C43C50">
      <w:pPr>
        <w:autoSpaceDE w:val="0"/>
        <w:autoSpaceDN w:val="0"/>
        <w:adjustRightInd w:val="0"/>
        <w:spacing w:after="0" w:line="240" w:lineRule="auto"/>
        <w:jc w:val="both"/>
        <w:rPr>
          <w:rFonts w:cs="Arial"/>
          <w:color w:val="000000"/>
        </w:rPr>
      </w:pPr>
      <w:r>
        <w:rPr>
          <w:rFonts w:cs="Arial"/>
          <w:color w:val="000000"/>
        </w:rPr>
        <w:t>In 1995, t</w:t>
      </w:r>
      <w:r w:rsidRPr="00EE6891">
        <w:rPr>
          <w:rFonts w:cs="Arial"/>
          <w:color w:val="000000"/>
        </w:rPr>
        <w:t xml:space="preserve">he Beijing Platform </w:t>
      </w:r>
      <w:r>
        <w:rPr>
          <w:rFonts w:cs="Arial"/>
          <w:color w:val="000000"/>
        </w:rPr>
        <w:t>for Action called on governments to accept a wider</w:t>
      </w:r>
      <w:r w:rsidRPr="00EE6891">
        <w:rPr>
          <w:rFonts w:cs="Arial"/>
          <w:color w:val="000000"/>
        </w:rPr>
        <w:t xml:space="preserve"> understanding of women’s participation in decision-making</w:t>
      </w:r>
      <w:r>
        <w:rPr>
          <w:rFonts w:cs="Arial"/>
          <w:color w:val="000000"/>
        </w:rPr>
        <w:t xml:space="preserve"> that went beyond women in national politics.</w:t>
      </w:r>
      <w:r w:rsidRPr="00EE6891">
        <w:rPr>
          <w:rFonts w:cs="Arial"/>
          <w:color w:val="000000"/>
        </w:rPr>
        <w:t xml:space="preserve"> </w:t>
      </w:r>
      <w:r>
        <w:rPr>
          <w:rFonts w:cs="Arial"/>
          <w:color w:val="000000"/>
        </w:rPr>
        <w:t xml:space="preserve">The 20-year review of the Platform, however, found that: </w:t>
      </w:r>
    </w:p>
    <w:p w:rsidR="00C43C50" w:rsidRDefault="00C43C50" w:rsidP="00C43C50">
      <w:pPr>
        <w:autoSpaceDE w:val="0"/>
        <w:autoSpaceDN w:val="0"/>
        <w:adjustRightInd w:val="0"/>
        <w:spacing w:after="0" w:line="240" w:lineRule="auto"/>
        <w:jc w:val="both"/>
        <w:rPr>
          <w:rFonts w:cs="Arial"/>
          <w:color w:val="000000"/>
        </w:rPr>
      </w:pPr>
    </w:p>
    <w:p w:rsidR="00C43C50" w:rsidRDefault="00C43C50" w:rsidP="00C43C50">
      <w:pPr>
        <w:autoSpaceDE w:val="0"/>
        <w:autoSpaceDN w:val="0"/>
        <w:adjustRightInd w:val="0"/>
        <w:spacing w:after="0" w:line="240" w:lineRule="auto"/>
        <w:ind w:left="720"/>
        <w:jc w:val="both"/>
        <w:rPr>
          <w:rFonts w:cs="Arial"/>
          <w:color w:val="000000"/>
        </w:rPr>
      </w:pPr>
      <w:r>
        <w:rPr>
          <w:rFonts w:cs="Arial"/>
          <w:color w:val="000000"/>
        </w:rPr>
        <w:t>a</w:t>
      </w:r>
      <w:r w:rsidRPr="00C01CB7">
        <w:rPr>
          <w:rFonts w:cs="Arial"/>
          <w:color w:val="000000"/>
        </w:rPr>
        <w:t xml:space="preserve"> significant challenge for effectively monitoring progress towards gender equality is the lack of high quality and comparable data, collected over time. Many areas of statistics that are of critical importance such as </w:t>
      </w:r>
      <w:r>
        <w:rPr>
          <w:rFonts w:cs="Arial"/>
          <w:color w:val="000000"/>
        </w:rPr>
        <w:t>…</w:t>
      </w:r>
      <w:r w:rsidRPr="00C01CB7">
        <w:rPr>
          <w:rFonts w:cs="Arial"/>
          <w:color w:val="000000"/>
        </w:rPr>
        <w:t xml:space="preserve"> women’s participation in decision-making at all lev</w:t>
      </w:r>
      <w:r>
        <w:rPr>
          <w:rFonts w:cs="Arial"/>
          <w:color w:val="000000"/>
        </w:rPr>
        <w:t>els, including local government …</w:t>
      </w:r>
      <w:r w:rsidRPr="00C01CB7">
        <w:rPr>
          <w:rFonts w:cs="Arial"/>
          <w:color w:val="000000"/>
        </w:rPr>
        <w:t xml:space="preserve"> are still not produced regularly by countries. Data and statistical requirements for the post-2015 development agenda will be substantial, </w:t>
      </w:r>
      <w:r w:rsidRPr="00C01CB7">
        <w:rPr>
          <w:rFonts w:cs="Arial"/>
          <w:color w:val="000000"/>
        </w:rPr>
        <w:lastRenderedPageBreak/>
        <w:t>particularly for monitoring gender equality, women’s empowerment and the human rights of women and girls in the new framework</w:t>
      </w:r>
      <w:r>
        <w:rPr>
          <w:rFonts w:cs="Arial"/>
          <w:color w:val="000000"/>
        </w:rPr>
        <w:t>.</w:t>
      </w:r>
      <w:r>
        <w:rPr>
          <w:rStyle w:val="FootnoteReference"/>
          <w:rFonts w:cs="Arial"/>
          <w:color w:val="000000"/>
        </w:rPr>
        <w:footnoteReference w:id="1"/>
      </w:r>
    </w:p>
    <w:p w:rsidR="00C43C50" w:rsidRDefault="00C43C50" w:rsidP="00C43C50">
      <w:pPr>
        <w:autoSpaceDE w:val="0"/>
        <w:autoSpaceDN w:val="0"/>
        <w:adjustRightInd w:val="0"/>
        <w:spacing w:after="0" w:line="240" w:lineRule="auto"/>
        <w:jc w:val="both"/>
        <w:rPr>
          <w:rFonts w:cs="Arial"/>
          <w:color w:val="000000"/>
        </w:rPr>
      </w:pPr>
    </w:p>
    <w:p w:rsidR="00C43C50" w:rsidRPr="00EE6891" w:rsidRDefault="00C43C50" w:rsidP="00C43C50">
      <w:pPr>
        <w:autoSpaceDE w:val="0"/>
        <w:autoSpaceDN w:val="0"/>
        <w:adjustRightInd w:val="0"/>
        <w:spacing w:after="0" w:line="240" w:lineRule="auto"/>
        <w:jc w:val="both"/>
        <w:rPr>
          <w:rFonts w:cs="Arial"/>
          <w:b/>
          <w:color w:val="000000"/>
        </w:rPr>
      </w:pPr>
      <w:r w:rsidRPr="00EE6891">
        <w:rPr>
          <w:rFonts w:cs="Arial"/>
          <w:b/>
          <w:color w:val="000000"/>
        </w:rPr>
        <w:t>A dedicated indicator on women’s political participation would provide the necessary ‘data mandate’ to ensure this data set is more systematically collected</w:t>
      </w:r>
      <w:r w:rsidR="00EF3330">
        <w:rPr>
          <w:rFonts w:cs="Arial"/>
          <w:b/>
          <w:color w:val="000000"/>
        </w:rPr>
        <w:t xml:space="preserve"> across all countries</w:t>
      </w:r>
      <w:r w:rsidR="00016BED">
        <w:rPr>
          <w:rFonts w:cs="Arial"/>
          <w:b/>
          <w:color w:val="000000"/>
        </w:rPr>
        <w:t xml:space="preserve"> and</w:t>
      </w:r>
      <w:r w:rsidRPr="00EE6891">
        <w:rPr>
          <w:rFonts w:cs="Arial"/>
          <w:b/>
          <w:color w:val="000000"/>
        </w:rPr>
        <w:t xml:space="preserve"> </w:t>
      </w:r>
      <w:r w:rsidR="00EF3330">
        <w:rPr>
          <w:rFonts w:cs="Arial"/>
          <w:b/>
          <w:color w:val="000000"/>
        </w:rPr>
        <w:t xml:space="preserve">regularly </w:t>
      </w:r>
      <w:r w:rsidRPr="00EE6891">
        <w:rPr>
          <w:rFonts w:cs="Arial"/>
          <w:b/>
          <w:color w:val="000000"/>
        </w:rPr>
        <w:t>monitored</w:t>
      </w:r>
      <w:r w:rsidR="00205235">
        <w:rPr>
          <w:rFonts w:cs="Arial"/>
          <w:b/>
          <w:color w:val="000000"/>
        </w:rPr>
        <w:t xml:space="preserve"> over time</w:t>
      </w:r>
      <w:r w:rsidR="00016BED">
        <w:rPr>
          <w:rFonts w:cs="Arial"/>
          <w:b/>
          <w:color w:val="000000"/>
        </w:rPr>
        <w:t>,</w:t>
      </w:r>
      <w:r w:rsidR="00205235">
        <w:rPr>
          <w:rFonts w:cs="Arial"/>
          <w:b/>
          <w:color w:val="000000"/>
        </w:rPr>
        <w:t xml:space="preserve"> allowing for </w:t>
      </w:r>
      <w:r w:rsidR="00EF3330">
        <w:rPr>
          <w:rFonts w:cs="Arial"/>
          <w:b/>
          <w:color w:val="000000"/>
        </w:rPr>
        <w:t>both international and longitudinal comparisons.</w:t>
      </w:r>
    </w:p>
    <w:p w:rsidR="00C43C50" w:rsidRDefault="00C43C50" w:rsidP="0013270C">
      <w:pPr>
        <w:autoSpaceDE w:val="0"/>
        <w:autoSpaceDN w:val="0"/>
        <w:adjustRightInd w:val="0"/>
        <w:spacing w:after="0" w:line="240" w:lineRule="auto"/>
        <w:jc w:val="both"/>
        <w:rPr>
          <w:rFonts w:cs="Arial"/>
          <w:color w:val="000000"/>
        </w:rPr>
      </w:pPr>
    </w:p>
    <w:p w:rsidR="00C43C50" w:rsidRDefault="00C43C50" w:rsidP="0013270C">
      <w:pPr>
        <w:autoSpaceDE w:val="0"/>
        <w:autoSpaceDN w:val="0"/>
        <w:adjustRightInd w:val="0"/>
        <w:spacing w:after="0" w:line="240" w:lineRule="auto"/>
        <w:jc w:val="both"/>
        <w:rPr>
          <w:rFonts w:cs="Arial"/>
          <w:color w:val="000000"/>
        </w:rPr>
      </w:pPr>
      <w:r>
        <w:rPr>
          <w:rFonts w:cs="Arial"/>
          <w:color w:val="000000"/>
        </w:rPr>
        <w:t>This indicator is also relevant for two</w:t>
      </w:r>
      <w:r w:rsidRPr="00EE6891">
        <w:rPr>
          <w:rFonts w:cs="Arial"/>
          <w:color w:val="000000"/>
        </w:rPr>
        <w:t xml:space="preserve"> </w:t>
      </w:r>
      <w:r>
        <w:rPr>
          <w:rFonts w:cs="Arial"/>
          <w:color w:val="000000"/>
        </w:rPr>
        <w:t>ot</w:t>
      </w:r>
      <w:r w:rsidRPr="00EE6891">
        <w:rPr>
          <w:rFonts w:cs="Arial"/>
          <w:color w:val="000000"/>
        </w:rPr>
        <w:t>he</w:t>
      </w:r>
      <w:r>
        <w:rPr>
          <w:rFonts w:cs="Arial"/>
          <w:color w:val="000000"/>
        </w:rPr>
        <w:t>r</w:t>
      </w:r>
      <w:r w:rsidRPr="00EE6891">
        <w:rPr>
          <w:rFonts w:cs="Arial"/>
          <w:color w:val="000000"/>
        </w:rPr>
        <w:t xml:space="preserve"> proposed Sustainable Development Goals (SDG) and related targets:</w:t>
      </w:r>
    </w:p>
    <w:p w:rsidR="00C43C50" w:rsidRDefault="00C43C50" w:rsidP="0013270C">
      <w:pPr>
        <w:autoSpaceDE w:val="0"/>
        <w:autoSpaceDN w:val="0"/>
        <w:adjustRightInd w:val="0"/>
        <w:spacing w:after="0" w:line="240" w:lineRule="auto"/>
        <w:jc w:val="both"/>
        <w:rPr>
          <w:rFonts w:cs="Arial"/>
          <w:color w:val="000000"/>
        </w:rPr>
      </w:pPr>
    </w:p>
    <w:p w:rsidR="00C43C50" w:rsidRPr="00EE6891" w:rsidRDefault="00C43C50" w:rsidP="00C43C50">
      <w:pPr>
        <w:pStyle w:val="ListParagraph"/>
        <w:numPr>
          <w:ilvl w:val="0"/>
          <w:numId w:val="1"/>
        </w:numPr>
        <w:autoSpaceDE w:val="0"/>
        <w:autoSpaceDN w:val="0"/>
        <w:adjustRightInd w:val="0"/>
        <w:spacing w:after="0" w:line="240" w:lineRule="auto"/>
        <w:ind w:left="540" w:hanging="180"/>
        <w:jc w:val="both"/>
        <w:rPr>
          <w:rFonts w:cs="Arial"/>
          <w:color w:val="000000"/>
        </w:rPr>
      </w:pPr>
      <w:r w:rsidRPr="00EE6891">
        <w:rPr>
          <w:rFonts w:cs="Arial"/>
          <w:color w:val="000000"/>
        </w:rPr>
        <w:t xml:space="preserve">Goal 11: Make </w:t>
      </w:r>
      <w:r w:rsidRPr="00C43C50">
        <w:rPr>
          <w:rFonts w:cs="Arial"/>
          <w:b/>
          <w:color w:val="000000"/>
        </w:rPr>
        <w:t>cities</w:t>
      </w:r>
      <w:r w:rsidRPr="00EE6891">
        <w:rPr>
          <w:rFonts w:cs="Arial"/>
          <w:color w:val="000000"/>
        </w:rPr>
        <w:t xml:space="preserve"> and human settlements inclusive, safe and sustainable.</w:t>
      </w:r>
    </w:p>
    <w:p w:rsidR="00C43C50" w:rsidRPr="00EE6891" w:rsidRDefault="00C43C50" w:rsidP="00C43C50">
      <w:pPr>
        <w:pStyle w:val="ListParagraph"/>
        <w:numPr>
          <w:ilvl w:val="1"/>
          <w:numId w:val="1"/>
        </w:numPr>
        <w:autoSpaceDE w:val="0"/>
        <w:autoSpaceDN w:val="0"/>
        <w:adjustRightInd w:val="0"/>
        <w:spacing w:after="0" w:line="240" w:lineRule="auto"/>
        <w:ind w:left="810" w:hanging="270"/>
        <w:rPr>
          <w:rFonts w:cs="Arial"/>
          <w:color w:val="000000"/>
        </w:rPr>
      </w:pPr>
      <w:r w:rsidRPr="00EE6891">
        <w:rPr>
          <w:rFonts w:cs="Arial"/>
          <w:color w:val="000000"/>
        </w:rPr>
        <w:t xml:space="preserve">11.5. By 2030, ensure </w:t>
      </w:r>
      <w:r w:rsidRPr="00EE6891">
        <w:rPr>
          <w:rFonts w:cs="Arial"/>
          <w:b/>
          <w:color w:val="000000"/>
        </w:rPr>
        <w:t xml:space="preserve">universal access </w:t>
      </w:r>
      <w:r w:rsidRPr="00C43C50">
        <w:rPr>
          <w:rFonts w:cs="Arial"/>
          <w:color w:val="000000"/>
        </w:rPr>
        <w:t>to safe,</w:t>
      </w:r>
      <w:r w:rsidRPr="00EE6891">
        <w:rPr>
          <w:rFonts w:cs="Arial"/>
          <w:b/>
          <w:color w:val="000000"/>
        </w:rPr>
        <w:t xml:space="preserve"> inclusive</w:t>
      </w:r>
      <w:r w:rsidRPr="00EE6891">
        <w:rPr>
          <w:rFonts w:cs="Arial"/>
          <w:color w:val="000000"/>
        </w:rPr>
        <w:t xml:space="preserve"> and accessible public spaces, particularly for women and children and people with disabilities.</w:t>
      </w:r>
    </w:p>
    <w:p w:rsidR="00C43C50" w:rsidRPr="00EE6891" w:rsidRDefault="00C43C50" w:rsidP="00C43C50">
      <w:pPr>
        <w:autoSpaceDE w:val="0"/>
        <w:autoSpaceDN w:val="0"/>
        <w:adjustRightInd w:val="0"/>
        <w:spacing w:after="0" w:line="240" w:lineRule="auto"/>
        <w:jc w:val="both"/>
        <w:rPr>
          <w:rFonts w:cs="Arial"/>
          <w:bCs/>
          <w:color w:val="000000"/>
        </w:rPr>
      </w:pPr>
    </w:p>
    <w:p w:rsidR="00C43C50" w:rsidRPr="00EE6891" w:rsidRDefault="00C43C50" w:rsidP="00C43C50">
      <w:pPr>
        <w:pStyle w:val="ListParagraph"/>
        <w:numPr>
          <w:ilvl w:val="0"/>
          <w:numId w:val="1"/>
        </w:numPr>
        <w:autoSpaceDE w:val="0"/>
        <w:autoSpaceDN w:val="0"/>
        <w:adjustRightInd w:val="0"/>
        <w:spacing w:after="0" w:line="240" w:lineRule="auto"/>
        <w:ind w:left="540" w:hanging="180"/>
        <w:jc w:val="both"/>
        <w:rPr>
          <w:rFonts w:cs="Arial"/>
          <w:color w:val="000000"/>
        </w:rPr>
      </w:pPr>
      <w:r w:rsidRPr="00EE6891">
        <w:rPr>
          <w:rFonts w:cs="Arial"/>
          <w:bCs/>
          <w:color w:val="000000"/>
        </w:rPr>
        <w:t>Goal 16:</w:t>
      </w:r>
      <w:r w:rsidRPr="00EE6891">
        <w:rPr>
          <w:rFonts w:cs="Arial"/>
          <w:color w:val="000000"/>
        </w:rPr>
        <w:t> </w:t>
      </w:r>
      <w:r w:rsidRPr="00EE6891">
        <w:rPr>
          <w:rFonts w:cs="Arial"/>
          <w:bCs/>
          <w:color w:val="000000"/>
        </w:rPr>
        <w:t>Promote peaceful and inclusive societies for sustainable development, provide access to justice for all and build effective, accountable and inclusive institutions at all levels</w:t>
      </w:r>
      <w:r w:rsidRPr="00EE6891">
        <w:rPr>
          <w:rFonts w:cs="Arial"/>
          <w:color w:val="000000"/>
        </w:rPr>
        <w:t>.</w:t>
      </w:r>
    </w:p>
    <w:p w:rsidR="00C43C50" w:rsidRPr="00EE6891" w:rsidRDefault="00C43C50" w:rsidP="00C43C50">
      <w:pPr>
        <w:pStyle w:val="ListParagraph"/>
        <w:numPr>
          <w:ilvl w:val="1"/>
          <w:numId w:val="1"/>
        </w:numPr>
        <w:autoSpaceDE w:val="0"/>
        <w:autoSpaceDN w:val="0"/>
        <w:adjustRightInd w:val="0"/>
        <w:spacing w:after="0" w:line="240" w:lineRule="auto"/>
        <w:ind w:left="810" w:hanging="270"/>
        <w:rPr>
          <w:rFonts w:cs="Arial"/>
          <w:color w:val="000000"/>
        </w:rPr>
      </w:pPr>
      <w:r w:rsidRPr="00EE6891">
        <w:rPr>
          <w:rFonts w:cs="Arial"/>
          <w:color w:val="000000"/>
        </w:rPr>
        <w:t xml:space="preserve">16.7. Ensure responsive, inclusive, participatory and representative decision-making </w:t>
      </w:r>
      <w:r w:rsidRPr="00EE6891">
        <w:rPr>
          <w:rFonts w:cs="Arial"/>
          <w:b/>
          <w:bCs/>
          <w:color w:val="000000"/>
        </w:rPr>
        <w:t>at all levels</w:t>
      </w:r>
      <w:r w:rsidRPr="00EE6891">
        <w:rPr>
          <w:rFonts w:cs="Arial"/>
          <w:bCs/>
          <w:color w:val="000000"/>
        </w:rPr>
        <w:t>.</w:t>
      </w:r>
    </w:p>
    <w:p w:rsidR="00C43C50" w:rsidRPr="00EE6891" w:rsidRDefault="00C43C50" w:rsidP="00C43C50">
      <w:pPr>
        <w:autoSpaceDE w:val="0"/>
        <w:autoSpaceDN w:val="0"/>
        <w:adjustRightInd w:val="0"/>
        <w:spacing w:after="0" w:line="240" w:lineRule="auto"/>
        <w:jc w:val="both"/>
        <w:rPr>
          <w:rFonts w:cs="Arial"/>
          <w:b/>
          <w:color w:val="000000"/>
        </w:rPr>
      </w:pPr>
    </w:p>
    <w:p w:rsidR="00C43C50" w:rsidRPr="00EE6891" w:rsidRDefault="00C43C50" w:rsidP="00C43C50">
      <w:pPr>
        <w:autoSpaceDE w:val="0"/>
        <w:autoSpaceDN w:val="0"/>
        <w:adjustRightInd w:val="0"/>
        <w:spacing w:after="0" w:line="240" w:lineRule="auto"/>
        <w:jc w:val="both"/>
        <w:rPr>
          <w:rFonts w:cs="Arial"/>
          <w:b/>
          <w:color w:val="000000"/>
        </w:rPr>
      </w:pPr>
      <w:r w:rsidRPr="00EE6891">
        <w:rPr>
          <w:rFonts w:cs="Arial"/>
          <w:b/>
          <w:color w:val="000000"/>
        </w:rPr>
        <w:t xml:space="preserve">These targets </w:t>
      </w:r>
      <w:r w:rsidR="00205235">
        <w:rPr>
          <w:rFonts w:cs="Arial"/>
          <w:b/>
          <w:color w:val="000000"/>
        </w:rPr>
        <w:t>can</w:t>
      </w:r>
      <w:r w:rsidRPr="00EE6891">
        <w:rPr>
          <w:rFonts w:cs="Arial"/>
          <w:b/>
          <w:color w:val="000000"/>
        </w:rPr>
        <w:t xml:space="preserve"> only be monitored at the local level if a dedicated indicator on women’s political participation in local government is included in the post-2015 development agenda.</w:t>
      </w:r>
    </w:p>
    <w:p w:rsidR="00C43C50" w:rsidRPr="00C43C50" w:rsidRDefault="00C43C50" w:rsidP="0013270C">
      <w:pPr>
        <w:autoSpaceDE w:val="0"/>
        <w:autoSpaceDN w:val="0"/>
        <w:adjustRightInd w:val="0"/>
        <w:spacing w:after="0" w:line="240" w:lineRule="auto"/>
        <w:jc w:val="both"/>
        <w:rPr>
          <w:rFonts w:cs="Arial"/>
          <w:color w:val="000000"/>
        </w:rPr>
      </w:pPr>
    </w:p>
    <w:p w:rsidR="00C43C50" w:rsidRDefault="00C43C50" w:rsidP="0013270C">
      <w:pPr>
        <w:autoSpaceDE w:val="0"/>
        <w:autoSpaceDN w:val="0"/>
        <w:adjustRightInd w:val="0"/>
        <w:spacing w:after="0" w:line="240" w:lineRule="auto"/>
        <w:jc w:val="both"/>
        <w:rPr>
          <w:rFonts w:cs="Arial"/>
          <w:b/>
          <w:color w:val="4472C4" w:themeColor="accent5"/>
          <w:sz w:val="26"/>
        </w:rPr>
      </w:pPr>
      <w:r>
        <w:rPr>
          <w:rFonts w:cs="Arial"/>
          <w:b/>
          <w:color w:val="4472C4" w:themeColor="accent5"/>
          <w:sz w:val="26"/>
        </w:rPr>
        <w:t>Data sources</w:t>
      </w:r>
    </w:p>
    <w:p w:rsidR="00CF51D6" w:rsidRDefault="00CF51D6" w:rsidP="00CF51D6">
      <w:pPr>
        <w:shd w:val="clear" w:color="auto" w:fill="FFFFFF"/>
        <w:overflowPunct w:val="0"/>
        <w:autoSpaceDE w:val="0"/>
        <w:autoSpaceDN w:val="0"/>
        <w:adjustRightInd w:val="0"/>
        <w:spacing w:after="0" w:line="240" w:lineRule="auto"/>
        <w:jc w:val="both"/>
        <w:textAlignment w:val="baseline"/>
        <w:rPr>
          <w:bCs/>
        </w:rPr>
      </w:pPr>
      <w:r>
        <w:t>To date, t</w:t>
      </w:r>
      <w:r w:rsidRPr="00EE6891">
        <w:t xml:space="preserve">he main global and regional sources of data on women’s political participation at the local level </w:t>
      </w:r>
      <w:r>
        <w:t xml:space="preserve">have </w:t>
      </w:r>
      <w:r w:rsidRPr="00EE6891">
        <w:t>include</w:t>
      </w:r>
      <w:r>
        <w:t>d</w:t>
      </w:r>
      <w:r w:rsidRPr="00EE6891">
        <w:t>: t</w:t>
      </w:r>
      <w:r w:rsidRPr="00EE6891">
        <w:rPr>
          <w:bCs/>
        </w:rPr>
        <w:t xml:space="preserve">he UN Statistics Division’s </w:t>
      </w:r>
      <w:r>
        <w:rPr>
          <w:bCs/>
        </w:rPr>
        <w:t xml:space="preserve">report, </w:t>
      </w:r>
      <w:r w:rsidRPr="00EE6891">
        <w:rPr>
          <w:bCs/>
          <w:i/>
        </w:rPr>
        <w:t xml:space="preserve">The </w:t>
      </w:r>
      <w:r w:rsidRPr="00EE6891">
        <w:rPr>
          <w:i/>
          <w:iCs/>
        </w:rPr>
        <w:t>World’s Women</w:t>
      </w:r>
      <w:r w:rsidRPr="00EE6891">
        <w:rPr>
          <w:iCs/>
        </w:rPr>
        <w:t xml:space="preserve">; </w:t>
      </w:r>
      <w:r w:rsidRPr="00EE6891">
        <w:rPr>
          <w:bCs/>
        </w:rPr>
        <w:t>United Cities and Local Government</w:t>
      </w:r>
      <w:r w:rsidRPr="00EE6891">
        <w:t xml:space="preserve"> (UCLG) country profiles; </w:t>
      </w:r>
      <w:r w:rsidRPr="00EE6891">
        <w:rPr>
          <w:bCs/>
        </w:rPr>
        <w:t>Member States’</w:t>
      </w:r>
      <w:r w:rsidRPr="00EE6891">
        <w:rPr>
          <w:bCs/>
          <w:iCs/>
        </w:rPr>
        <w:t xml:space="preserve"> </w:t>
      </w:r>
      <w:r w:rsidRPr="00EE6891">
        <w:t xml:space="preserve">inputs to the SG Report on the implementation of General Assembly Resolution 66/130 on women and political participation; </w:t>
      </w:r>
      <w:r>
        <w:rPr>
          <w:bCs/>
        </w:rPr>
        <w:t>CEDAW country reports (</w:t>
      </w:r>
      <w:r w:rsidRPr="00EE6891">
        <w:t>a total of 122 countries have reported some information on women’s representation at local level</w:t>
      </w:r>
      <w:r>
        <w:t>)</w:t>
      </w:r>
      <w:r w:rsidRPr="00EE6891">
        <w:t xml:space="preserve">; </w:t>
      </w:r>
      <w:r>
        <w:t>and national</w:t>
      </w:r>
      <w:r w:rsidRPr="00EE6891">
        <w:rPr>
          <w:bCs/>
        </w:rPr>
        <w:t xml:space="preserve"> government </w:t>
      </w:r>
      <w:r>
        <w:rPr>
          <w:bCs/>
        </w:rPr>
        <w:t>sources including</w:t>
      </w:r>
      <w:r w:rsidRPr="00EE6891">
        <w:rPr>
          <w:bCs/>
        </w:rPr>
        <w:t xml:space="preserve"> </w:t>
      </w:r>
      <w:r>
        <w:rPr>
          <w:bCs/>
        </w:rPr>
        <w:t>P</w:t>
      </w:r>
      <w:r w:rsidRPr="00EE6891">
        <w:rPr>
          <w:bCs/>
        </w:rPr>
        <w:t xml:space="preserve">ermanent </w:t>
      </w:r>
      <w:r>
        <w:rPr>
          <w:bCs/>
        </w:rPr>
        <w:t>M</w:t>
      </w:r>
      <w:r w:rsidRPr="00EE6891">
        <w:rPr>
          <w:bCs/>
        </w:rPr>
        <w:t>issions to the United Nations.</w:t>
      </w:r>
    </w:p>
    <w:p w:rsidR="00CF51D6" w:rsidRDefault="00CF51D6" w:rsidP="00CF51D6">
      <w:pPr>
        <w:shd w:val="clear" w:color="auto" w:fill="FFFFFF"/>
        <w:tabs>
          <w:tab w:val="left" w:pos="1579"/>
        </w:tabs>
        <w:overflowPunct w:val="0"/>
        <w:autoSpaceDE w:val="0"/>
        <w:autoSpaceDN w:val="0"/>
        <w:adjustRightInd w:val="0"/>
        <w:spacing w:after="0" w:line="240" w:lineRule="auto"/>
        <w:jc w:val="both"/>
        <w:textAlignment w:val="baseline"/>
      </w:pPr>
    </w:p>
    <w:p w:rsidR="00C43C50" w:rsidRDefault="00CF51D6" w:rsidP="00CF51D6">
      <w:pPr>
        <w:autoSpaceDE w:val="0"/>
        <w:autoSpaceDN w:val="0"/>
        <w:adjustRightInd w:val="0"/>
        <w:spacing w:after="0" w:line="240" w:lineRule="auto"/>
        <w:jc w:val="both"/>
      </w:pPr>
      <w:r w:rsidRPr="00EE6891">
        <w:t>The United Nations Regional Commissions have also played an important role collecting data on women’s political participation at the local level. There are consistent data on women’s participation in local government published on the websites of two Regional Commissions: the United Nations Economic Commission for Europe (UNECE) and the United Nations Economic Commission for Latin America (UN-ECLAC).</w:t>
      </w:r>
      <w:r>
        <w:t xml:space="preserve"> (See Annex 1 for more information.)</w:t>
      </w:r>
    </w:p>
    <w:p w:rsidR="00105E7B" w:rsidRDefault="00105E7B" w:rsidP="00CF51D6">
      <w:pPr>
        <w:autoSpaceDE w:val="0"/>
        <w:autoSpaceDN w:val="0"/>
        <w:adjustRightInd w:val="0"/>
        <w:spacing w:after="0" w:line="240" w:lineRule="auto"/>
        <w:jc w:val="both"/>
      </w:pPr>
    </w:p>
    <w:p w:rsidR="00EF3330" w:rsidRDefault="00EF3330" w:rsidP="00CF51D6">
      <w:pPr>
        <w:autoSpaceDE w:val="0"/>
        <w:autoSpaceDN w:val="0"/>
        <w:adjustRightInd w:val="0"/>
        <w:spacing w:after="0" w:line="240" w:lineRule="auto"/>
        <w:jc w:val="both"/>
      </w:pPr>
      <w:r>
        <w:t>As t</w:t>
      </w:r>
      <w:r w:rsidRPr="00EF3330">
        <w:t xml:space="preserve">he data is not comparable across </w:t>
      </w:r>
      <w:r>
        <w:t xml:space="preserve">countries and </w:t>
      </w:r>
      <w:r w:rsidRPr="00EF3330">
        <w:t>regions</w:t>
      </w:r>
      <w:r>
        <w:t>,</w:t>
      </w:r>
      <w:r w:rsidRPr="00EF3330">
        <w:t xml:space="preserve"> a </w:t>
      </w:r>
      <w:r>
        <w:t xml:space="preserve">standardised data </w:t>
      </w:r>
      <w:r w:rsidRPr="00EF3330">
        <w:t xml:space="preserve">collection methodology </w:t>
      </w:r>
      <w:r>
        <w:t xml:space="preserve">– including guidelines – needs to be developed. </w:t>
      </w:r>
    </w:p>
    <w:p w:rsidR="00C43C50" w:rsidRPr="00C43C50" w:rsidRDefault="00C43C50" w:rsidP="0013270C">
      <w:pPr>
        <w:autoSpaceDE w:val="0"/>
        <w:autoSpaceDN w:val="0"/>
        <w:adjustRightInd w:val="0"/>
        <w:spacing w:after="0" w:line="240" w:lineRule="auto"/>
        <w:jc w:val="both"/>
        <w:rPr>
          <w:rFonts w:cs="Arial"/>
          <w:color w:val="000000"/>
        </w:rPr>
      </w:pPr>
    </w:p>
    <w:p w:rsidR="00C43C50" w:rsidRDefault="00C43C50" w:rsidP="0013270C">
      <w:pPr>
        <w:autoSpaceDE w:val="0"/>
        <w:autoSpaceDN w:val="0"/>
        <w:adjustRightInd w:val="0"/>
        <w:spacing w:after="0" w:line="240" w:lineRule="auto"/>
        <w:jc w:val="both"/>
        <w:rPr>
          <w:rFonts w:cs="Arial"/>
          <w:b/>
          <w:color w:val="4472C4" w:themeColor="accent5"/>
          <w:sz w:val="26"/>
        </w:rPr>
      </w:pPr>
      <w:r>
        <w:rPr>
          <w:rFonts w:cs="Arial"/>
          <w:b/>
          <w:color w:val="4472C4" w:themeColor="accent5"/>
          <w:sz w:val="26"/>
        </w:rPr>
        <w:t>Countries where data is available</w:t>
      </w:r>
    </w:p>
    <w:p w:rsidR="00CF51D6" w:rsidRPr="00CF51D6" w:rsidRDefault="00CF51D6" w:rsidP="00CF51D6">
      <w:pPr>
        <w:autoSpaceDE w:val="0"/>
        <w:autoSpaceDN w:val="0"/>
        <w:adjustRightInd w:val="0"/>
        <w:spacing w:after="0" w:line="240" w:lineRule="auto"/>
        <w:jc w:val="both"/>
        <w:rPr>
          <w:rFonts w:cs="Arial"/>
          <w:color w:val="000000"/>
        </w:rPr>
      </w:pPr>
      <w:r>
        <w:rPr>
          <w:rFonts w:cs="Arial"/>
          <w:color w:val="000000"/>
        </w:rPr>
        <w:t xml:space="preserve">Local governments exist in every country, and in theory, data could be collected from each one. </w:t>
      </w:r>
      <w:r>
        <w:rPr>
          <w:rFonts w:eastAsia="MS Mincho" w:cs="Arial"/>
        </w:rPr>
        <w:t>Available data</w:t>
      </w:r>
      <w:r w:rsidRPr="00EE6891">
        <w:rPr>
          <w:rFonts w:eastAsia="MS Mincho" w:cs="Arial"/>
        </w:rPr>
        <w:t xml:space="preserve"> </w:t>
      </w:r>
      <w:r>
        <w:rPr>
          <w:rFonts w:eastAsia="MS Mincho" w:cs="Arial"/>
        </w:rPr>
        <w:t xml:space="preserve">on women’s participation in </w:t>
      </w:r>
      <w:r w:rsidRPr="00EE6891">
        <w:rPr>
          <w:rFonts w:eastAsia="MS Mincho" w:cs="Arial"/>
        </w:rPr>
        <w:t>local government</w:t>
      </w:r>
      <w:r>
        <w:rPr>
          <w:rFonts w:eastAsia="MS Mincho" w:cs="Arial"/>
        </w:rPr>
        <w:t>, however,</w:t>
      </w:r>
      <w:r w:rsidRPr="00EE6891">
        <w:rPr>
          <w:rFonts w:eastAsia="MS Mincho" w:cs="Arial"/>
        </w:rPr>
        <w:t xml:space="preserve"> </w:t>
      </w:r>
      <w:r>
        <w:rPr>
          <w:rFonts w:eastAsia="MS Mincho" w:cs="Arial"/>
        </w:rPr>
        <w:t xml:space="preserve">has </w:t>
      </w:r>
      <w:r w:rsidRPr="00EE6891">
        <w:rPr>
          <w:rFonts w:eastAsia="MS Mincho" w:cs="Arial"/>
        </w:rPr>
        <w:t xml:space="preserve">suffered </w:t>
      </w:r>
      <w:r>
        <w:rPr>
          <w:rFonts w:eastAsia="MS Mincho" w:cs="Arial"/>
        </w:rPr>
        <w:t>from the following</w:t>
      </w:r>
      <w:r w:rsidRPr="00EE6891">
        <w:rPr>
          <w:rFonts w:eastAsia="MS Mincho" w:cs="Arial"/>
        </w:rPr>
        <w:t xml:space="preserve"> limitations</w:t>
      </w:r>
      <w:r>
        <w:rPr>
          <w:rFonts w:eastAsia="MS Mincho" w:cs="Arial"/>
        </w:rPr>
        <w:t>:</w:t>
      </w:r>
    </w:p>
    <w:p w:rsidR="00ED114C" w:rsidRPr="00C21149" w:rsidRDefault="00ED114C" w:rsidP="00ED114C">
      <w:pPr>
        <w:pStyle w:val="ListParagraph"/>
        <w:numPr>
          <w:ilvl w:val="0"/>
          <w:numId w:val="5"/>
        </w:numPr>
        <w:spacing w:after="0" w:line="240" w:lineRule="auto"/>
        <w:jc w:val="both"/>
      </w:pPr>
      <w:r w:rsidRPr="00C21149">
        <w:rPr>
          <w:rFonts w:eastAsia="MS Mincho" w:cs="Arial"/>
        </w:rPr>
        <w:t>inconsistent data coverage over time</w:t>
      </w:r>
      <w:r>
        <w:rPr>
          <w:rFonts w:eastAsia="MS Mincho" w:cs="Arial"/>
        </w:rPr>
        <w:t xml:space="preserve"> (</w:t>
      </w:r>
      <w:r w:rsidRPr="00C21149">
        <w:rPr>
          <w:rFonts w:eastAsia="MS Mincho" w:cs="Arial"/>
        </w:rPr>
        <w:t xml:space="preserve">some countries report </w:t>
      </w:r>
      <w:r>
        <w:rPr>
          <w:rFonts w:eastAsia="MS Mincho" w:cs="Arial"/>
        </w:rPr>
        <w:t>regularly</w:t>
      </w:r>
      <w:r w:rsidRPr="00C21149">
        <w:rPr>
          <w:rFonts w:eastAsia="MS Mincho" w:cs="Arial"/>
        </w:rPr>
        <w:t xml:space="preserve"> while others report less frequently</w:t>
      </w:r>
      <w:r>
        <w:rPr>
          <w:rFonts w:eastAsia="MS Mincho" w:cs="Arial"/>
        </w:rPr>
        <w:t>,</w:t>
      </w:r>
      <w:r w:rsidRPr="00C21149">
        <w:rPr>
          <w:rFonts w:eastAsia="MS Mincho" w:cs="Arial"/>
        </w:rPr>
        <w:t xml:space="preserve"> if at all</w:t>
      </w:r>
      <w:r>
        <w:rPr>
          <w:rFonts w:eastAsia="MS Mincho" w:cs="Arial"/>
        </w:rPr>
        <w:t>) which results in an absence of trend data to show progress and setbacks;</w:t>
      </w:r>
      <w:r w:rsidRPr="00C21149">
        <w:rPr>
          <w:rFonts w:eastAsia="MS Mincho" w:cs="Arial"/>
        </w:rPr>
        <w:t xml:space="preserve"> </w:t>
      </w:r>
    </w:p>
    <w:p w:rsidR="00CF51D6" w:rsidRPr="00C21149" w:rsidRDefault="00CF51D6" w:rsidP="00CF51D6">
      <w:pPr>
        <w:pStyle w:val="ListParagraph"/>
        <w:numPr>
          <w:ilvl w:val="0"/>
          <w:numId w:val="5"/>
        </w:numPr>
        <w:spacing w:after="0" w:line="240" w:lineRule="auto"/>
        <w:jc w:val="both"/>
      </w:pPr>
      <w:r>
        <w:lastRenderedPageBreak/>
        <w:t xml:space="preserve">an absence of </w:t>
      </w:r>
      <w:r w:rsidRPr="00EE6891">
        <w:t>common baseline data</w:t>
      </w:r>
      <w:r>
        <w:t>, or a global repository of data;</w:t>
      </w:r>
      <w:r w:rsidRPr="00C21149">
        <w:rPr>
          <w:rFonts w:eastAsia="MS Mincho" w:cs="Arial"/>
        </w:rPr>
        <w:t xml:space="preserve"> </w:t>
      </w:r>
    </w:p>
    <w:p w:rsidR="00CF51D6" w:rsidRPr="00C21149" w:rsidRDefault="00CF51D6" w:rsidP="00CF51D6">
      <w:pPr>
        <w:pStyle w:val="ListParagraph"/>
        <w:numPr>
          <w:ilvl w:val="0"/>
          <w:numId w:val="5"/>
        </w:numPr>
        <w:spacing w:after="0" w:line="240" w:lineRule="auto"/>
        <w:jc w:val="both"/>
      </w:pPr>
      <w:r>
        <w:rPr>
          <w:rFonts w:eastAsia="MS Mincho" w:cs="Arial"/>
        </w:rPr>
        <w:t xml:space="preserve">a lack </w:t>
      </w:r>
      <w:r w:rsidRPr="00EE6891">
        <w:t>of clear definitions</w:t>
      </w:r>
      <w:r>
        <w:t xml:space="preserve"> of local government</w:t>
      </w:r>
      <w:r w:rsidRPr="00C21149">
        <w:rPr>
          <w:rFonts w:eastAsia="MS Mincho" w:cs="Arial"/>
        </w:rPr>
        <w:t xml:space="preserve"> </w:t>
      </w:r>
      <w:r>
        <w:rPr>
          <w:rFonts w:eastAsia="MS Mincho" w:cs="Arial"/>
        </w:rPr>
        <w:t xml:space="preserve">structures to be measured resulting in </w:t>
      </w:r>
      <w:r w:rsidRPr="00C21149">
        <w:rPr>
          <w:rFonts w:eastAsia="MS Mincho" w:cs="Arial"/>
        </w:rPr>
        <w:t xml:space="preserve">variation in the names and functions of </w:t>
      </w:r>
      <w:r>
        <w:rPr>
          <w:rFonts w:eastAsia="MS Mincho" w:cs="Arial"/>
        </w:rPr>
        <w:t xml:space="preserve">the </w:t>
      </w:r>
      <w:r w:rsidRPr="00C21149">
        <w:rPr>
          <w:rFonts w:eastAsia="MS Mincho" w:cs="Arial"/>
        </w:rPr>
        <w:t>local government structures</w:t>
      </w:r>
      <w:r>
        <w:rPr>
          <w:rFonts w:eastAsia="MS Mincho" w:cs="Arial"/>
        </w:rPr>
        <w:t xml:space="preserve"> measured</w:t>
      </w:r>
      <w:r w:rsidRPr="00C21149">
        <w:rPr>
          <w:rFonts w:eastAsia="MS Mincho" w:cs="Arial"/>
        </w:rPr>
        <w:t>;</w:t>
      </w:r>
    </w:p>
    <w:p w:rsidR="00CF51D6" w:rsidRPr="00B41EF3" w:rsidRDefault="00CF51D6" w:rsidP="00CF51D6">
      <w:pPr>
        <w:pStyle w:val="ListParagraph"/>
        <w:numPr>
          <w:ilvl w:val="0"/>
          <w:numId w:val="5"/>
        </w:numPr>
        <w:spacing w:after="0" w:line="240" w:lineRule="auto"/>
        <w:jc w:val="both"/>
      </w:pPr>
      <w:r>
        <w:rPr>
          <w:rFonts w:eastAsia="MS Mincho" w:cs="Arial"/>
        </w:rPr>
        <w:t>conflation of data on councillors with data on mayor positions;</w:t>
      </w:r>
    </w:p>
    <w:p w:rsidR="00CF51D6" w:rsidRDefault="00CF51D6" w:rsidP="00CF51D6">
      <w:pPr>
        <w:pStyle w:val="ListParagraph"/>
        <w:numPr>
          <w:ilvl w:val="0"/>
          <w:numId w:val="5"/>
        </w:numPr>
        <w:spacing w:after="0" w:line="240" w:lineRule="auto"/>
        <w:jc w:val="both"/>
      </w:pPr>
      <w:r w:rsidRPr="00EE6891">
        <w:t xml:space="preserve">a lack of clear </w:t>
      </w:r>
      <w:r w:rsidR="00205235">
        <w:t xml:space="preserve">methodological </w:t>
      </w:r>
      <w:r w:rsidRPr="00EE6891">
        <w:t xml:space="preserve">guidelines for data collection processes. </w:t>
      </w:r>
    </w:p>
    <w:p w:rsidR="00C43C50" w:rsidRDefault="00C43C50" w:rsidP="0013270C">
      <w:pPr>
        <w:autoSpaceDE w:val="0"/>
        <w:autoSpaceDN w:val="0"/>
        <w:adjustRightInd w:val="0"/>
        <w:spacing w:after="0" w:line="240" w:lineRule="auto"/>
        <w:jc w:val="both"/>
        <w:rPr>
          <w:rFonts w:cs="Arial"/>
          <w:color w:val="000000"/>
        </w:rPr>
      </w:pPr>
    </w:p>
    <w:p w:rsidR="00CF51D6" w:rsidRPr="00EE6891" w:rsidRDefault="00CF51D6" w:rsidP="00CF51D6">
      <w:pPr>
        <w:shd w:val="clear" w:color="auto" w:fill="FFFFFF"/>
        <w:tabs>
          <w:tab w:val="left" w:pos="1579"/>
        </w:tabs>
        <w:overflowPunct w:val="0"/>
        <w:autoSpaceDE w:val="0"/>
        <w:autoSpaceDN w:val="0"/>
        <w:adjustRightInd w:val="0"/>
        <w:spacing w:after="0" w:line="240" w:lineRule="auto"/>
        <w:jc w:val="both"/>
        <w:textAlignment w:val="baseline"/>
      </w:pPr>
      <w:r w:rsidRPr="00EE6891">
        <w:t xml:space="preserve">In attempting to address some of the challenges </w:t>
      </w:r>
      <w:r>
        <w:t xml:space="preserve">with existing data, </w:t>
      </w:r>
      <w:r w:rsidRPr="00EE6891">
        <w:rPr>
          <w:rFonts w:cs="Arial"/>
          <w:color w:val="000000"/>
        </w:rPr>
        <w:t xml:space="preserve">UN Women </w:t>
      </w:r>
      <w:r>
        <w:rPr>
          <w:rFonts w:cs="Arial"/>
          <w:color w:val="000000"/>
        </w:rPr>
        <w:t xml:space="preserve">has begun work on a </w:t>
      </w:r>
      <w:r>
        <w:t xml:space="preserve">new </w:t>
      </w:r>
      <w:r w:rsidRPr="00EE6891">
        <w:t xml:space="preserve">typology </w:t>
      </w:r>
      <w:r>
        <w:t>that reflects</w:t>
      </w:r>
      <w:r w:rsidRPr="00EE6891">
        <w:t xml:space="preserve"> the diverse range of local govern</w:t>
      </w:r>
      <w:r>
        <w:t>ment</w:t>
      </w:r>
      <w:r w:rsidRPr="00EE6891">
        <w:t xml:space="preserve"> systems</w:t>
      </w:r>
      <w:r>
        <w:t>,</w:t>
      </w:r>
      <w:r w:rsidRPr="00EE6891">
        <w:t xml:space="preserve"> to allow for international comparison</w:t>
      </w:r>
      <w:r>
        <w:t xml:space="preserve">. </w:t>
      </w:r>
      <w:r w:rsidR="00755B67">
        <w:t xml:space="preserve">Research was </w:t>
      </w:r>
      <w:r w:rsidRPr="00EE6891">
        <w:t xml:space="preserve">commissioned on the sub-national administrative structures in 193 UN Member States. Data on each country’s governance structure was collected from a combination of national government websites and secondary sources. This research distinguished </w:t>
      </w:r>
      <w:r>
        <w:t>the following</w:t>
      </w:r>
      <w:r w:rsidRPr="00EE6891">
        <w:t xml:space="preserve"> </w:t>
      </w:r>
      <w:r>
        <w:t>“</w:t>
      </w:r>
      <w:r w:rsidRPr="00EE6891">
        <w:t>tiers</w:t>
      </w:r>
      <w:r>
        <w:t>”</w:t>
      </w:r>
      <w:r w:rsidRPr="00EE6891">
        <w:t xml:space="preserve"> of local government</w:t>
      </w:r>
      <w:r>
        <w:t>:</w:t>
      </w:r>
    </w:p>
    <w:p w:rsidR="00CF51D6" w:rsidRPr="00EE6891" w:rsidRDefault="00CF51D6" w:rsidP="00CF51D6">
      <w:pPr>
        <w:shd w:val="clear" w:color="auto" w:fill="FFFFFF"/>
        <w:tabs>
          <w:tab w:val="left" w:pos="1579"/>
        </w:tabs>
        <w:overflowPunct w:val="0"/>
        <w:autoSpaceDE w:val="0"/>
        <w:autoSpaceDN w:val="0"/>
        <w:adjustRightInd w:val="0"/>
        <w:spacing w:after="0" w:line="240" w:lineRule="auto"/>
        <w:jc w:val="both"/>
        <w:textAlignment w:val="baseline"/>
      </w:pPr>
    </w:p>
    <w:p w:rsidR="00CF51D6" w:rsidRPr="00EE6891" w:rsidRDefault="00CF51D6" w:rsidP="00CF51D6">
      <w:pPr>
        <w:pStyle w:val="ListParagraph"/>
        <w:numPr>
          <w:ilvl w:val="0"/>
          <w:numId w:val="7"/>
        </w:numPr>
        <w:shd w:val="clear" w:color="auto" w:fill="FFFFFF"/>
        <w:tabs>
          <w:tab w:val="left" w:pos="1579"/>
        </w:tabs>
        <w:overflowPunct w:val="0"/>
        <w:autoSpaceDE w:val="0"/>
        <w:autoSpaceDN w:val="0"/>
        <w:adjustRightInd w:val="0"/>
        <w:spacing w:after="0" w:line="240" w:lineRule="auto"/>
        <w:jc w:val="both"/>
        <w:textAlignment w:val="baseline"/>
      </w:pPr>
      <w:r>
        <w:t>A</w:t>
      </w:r>
      <w:r w:rsidRPr="00EE6891">
        <w:t xml:space="preserve"> first tier of local government could be identified as “the district” or “the department” </w:t>
      </w:r>
      <w:r>
        <w:t>and would include</w:t>
      </w:r>
      <w:r w:rsidRPr="00EE6891">
        <w:t xml:space="preserve"> municipal corporations, administrative divisions and self-governing territories</w:t>
      </w:r>
      <w:r w:rsidR="005A3816">
        <w:t xml:space="preserve"> (estimated to apply to 92 countries)</w:t>
      </w:r>
      <w:r w:rsidRPr="00EE6891">
        <w:t xml:space="preserve">. </w:t>
      </w:r>
    </w:p>
    <w:p w:rsidR="00CF51D6" w:rsidRPr="00EE6891" w:rsidRDefault="00CF51D6" w:rsidP="00CF51D6">
      <w:pPr>
        <w:shd w:val="clear" w:color="auto" w:fill="FFFFFF"/>
        <w:tabs>
          <w:tab w:val="left" w:pos="1579"/>
        </w:tabs>
        <w:overflowPunct w:val="0"/>
        <w:autoSpaceDE w:val="0"/>
        <w:autoSpaceDN w:val="0"/>
        <w:adjustRightInd w:val="0"/>
        <w:spacing w:after="0" w:line="240" w:lineRule="auto"/>
        <w:jc w:val="both"/>
        <w:textAlignment w:val="baseline"/>
      </w:pPr>
    </w:p>
    <w:p w:rsidR="00CF51D6" w:rsidRPr="00EE6891" w:rsidRDefault="00CF51D6" w:rsidP="00CF51D6">
      <w:pPr>
        <w:pStyle w:val="ListParagraph"/>
        <w:numPr>
          <w:ilvl w:val="0"/>
          <w:numId w:val="7"/>
        </w:numPr>
        <w:shd w:val="clear" w:color="auto" w:fill="FFFFFF"/>
        <w:tabs>
          <w:tab w:val="left" w:pos="1579"/>
        </w:tabs>
        <w:overflowPunct w:val="0"/>
        <w:autoSpaceDE w:val="0"/>
        <w:autoSpaceDN w:val="0"/>
        <w:adjustRightInd w:val="0"/>
        <w:spacing w:after="0" w:line="240" w:lineRule="auto"/>
        <w:jc w:val="both"/>
        <w:textAlignment w:val="baseline"/>
      </w:pPr>
      <w:r>
        <w:t>A</w:t>
      </w:r>
      <w:r w:rsidRPr="00EE6891">
        <w:t xml:space="preserve"> second tier of local government could be identified as “the municipality” </w:t>
      </w:r>
      <w:r>
        <w:t>and would</w:t>
      </w:r>
      <w:r w:rsidRPr="00EE6891">
        <w:t xml:space="preserve"> comprise cities, towns and other small urban agglomerations</w:t>
      </w:r>
      <w:r>
        <w:t xml:space="preserve">, usually </w:t>
      </w:r>
      <w:r w:rsidRPr="00EE6891">
        <w:t>headed by a mayor</w:t>
      </w:r>
      <w:r w:rsidR="005A3816">
        <w:t xml:space="preserve"> (estimated to apply to 178 countries)</w:t>
      </w:r>
      <w:r w:rsidRPr="00EE6891">
        <w:t>.</w:t>
      </w:r>
    </w:p>
    <w:p w:rsidR="00CF51D6" w:rsidRPr="00EE6891" w:rsidRDefault="00CF51D6" w:rsidP="00CF51D6">
      <w:pPr>
        <w:shd w:val="clear" w:color="auto" w:fill="FFFFFF"/>
        <w:tabs>
          <w:tab w:val="left" w:pos="1579"/>
        </w:tabs>
        <w:overflowPunct w:val="0"/>
        <w:autoSpaceDE w:val="0"/>
        <w:autoSpaceDN w:val="0"/>
        <w:adjustRightInd w:val="0"/>
        <w:spacing w:after="0" w:line="240" w:lineRule="auto"/>
        <w:jc w:val="both"/>
        <w:textAlignment w:val="baseline"/>
      </w:pPr>
    </w:p>
    <w:p w:rsidR="00CF51D6" w:rsidRPr="00EE6891" w:rsidRDefault="00CF51D6" w:rsidP="00CF51D6">
      <w:pPr>
        <w:pStyle w:val="ListParagraph"/>
        <w:numPr>
          <w:ilvl w:val="0"/>
          <w:numId w:val="7"/>
        </w:numPr>
        <w:shd w:val="clear" w:color="auto" w:fill="FFFFFF"/>
        <w:tabs>
          <w:tab w:val="left" w:pos="1579"/>
        </w:tabs>
        <w:overflowPunct w:val="0"/>
        <w:autoSpaceDE w:val="0"/>
        <w:autoSpaceDN w:val="0"/>
        <w:adjustRightInd w:val="0"/>
        <w:spacing w:after="0" w:line="240" w:lineRule="auto"/>
        <w:jc w:val="both"/>
        <w:textAlignment w:val="baseline"/>
      </w:pPr>
      <w:r>
        <w:t>A</w:t>
      </w:r>
      <w:r w:rsidRPr="00EE6891">
        <w:t xml:space="preserve"> third tier of local government might be identified as “the </w:t>
      </w:r>
      <w:r>
        <w:t xml:space="preserve">rural </w:t>
      </w:r>
      <w:r w:rsidRPr="00EE6891">
        <w:t xml:space="preserve">village”, </w:t>
      </w:r>
      <w:r>
        <w:t>more prevalent</w:t>
      </w:r>
      <w:r w:rsidRPr="00EE6891">
        <w:t xml:space="preserve"> in large countries with highly populated </w:t>
      </w:r>
      <w:r>
        <w:t>regional cent</w:t>
      </w:r>
      <w:r w:rsidRPr="00EE6891">
        <w:t>r</w:t>
      </w:r>
      <w:r>
        <w:t>e</w:t>
      </w:r>
      <w:r w:rsidRPr="00EE6891">
        <w:t>s</w:t>
      </w:r>
      <w:r w:rsidR="005A3816">
        <w:t xml:space="preserve"> (estimated to apply to 48 countries)</w:t>
      </w:r>
      <w:r>
        <w:t>.</w:t>
      </w:r>
    </w:p>
    <w:p w:rsidR="00CF51D6" w:rsidRDefault="00CF51D6" w:rsidP="00CF51D6">
      <w:pPr>
        <w:shd w:val="clear" w:color="auto" w:fill="FFFFFF"/>
        <w:tabs>
          <w:tab w:val="left" w:pos="1579"/>
        </w:tabs>
        <w:overflowPunct w:val="0"/>
        <w:autoSpaceDE w:val="0"/>
        <w:autoSpaceDN w:val="0"/>
        <w:adjustRightInd w:val="0"/>
        <w:spacing w:after="0" w:line="240" w:lineRule="auto"/>
        <w:jc w:val="both"/>
        <w:textAlignment w:val="baseline"/>
      </w:pPr>
    </w:p>
    <w:p w:rsidR="00CF51D6" w:rsidRPr="00EE6891" w:rsidRDefault="00CF51D6" w:rsidP="00CF51D6">
      <w:pPr>
        <w:pStyle w:val="ListParagraph"/>
        <w:numPr>
          <w:ilvl w:val="0"/>
          <w:numId w:val="7"/>
        </w:numPr>
        <w:shd w:val="clear" w:color="auto" w:fill="FFFFFF"/>
        <w:tabs>
          <w:tab w:val="left" w:pos="1579"/>
        </w:tabs>
        <w:overflowPunct w:val="0"/>
        <w:autoSpaceDE w:val="0"/>
        <w:autoSpaceDN w:val="0"/>
        <w:adjustRightInd w:val="0"/>
        <w:spacing w:after="0" w:line="240" w:lineRule="auto"/>
        <w:jc w:val="both"/>
        <w:textAlignment w:val="baseline"/>
      </w:pPr>
      <w:r>
        <w:t xml:space="preserve">Additional tiers, where required, </w:t>
      </w:r>
      <w:r w:rsidRPr="00EE6891">
        <w:t>could be identified as “small village</w:t>
      </w:r>
      <w:r>
        <w:t>s</w:t>
      </w:r>
      <w:r w:rsidRPr="00EE6891">
        <w:t>” and “neighbourhood</w:t>
      </w:r>
      <w:r>
        <w:t>s</w:t>
      </w:r>
      <w:r w:rsidRPr="00EE6891">
        <w:t>”, responsible for arbitrating local disputes and liaising between formal and informal authorities</w:t>
      </w:r>
      <w:r>
        <w:t xml:space="preserve">, but with </w:t>
      </w:r>
      <w:r w:rsidRPr="00EE6891">
        <w:t>little financial authority</w:t>
      </w:r>
      <w:r w:rsidR="005A3816">
        <w:t xml:space="preserve"> (estimated to apply to 5 countries)</w:t>
      </w:r>
      <w:r>
        <w:t>.</w:t>
      </w:r>
    </w:p>
    <w:p w:rsidR="00CF51D6" w:rsidRDefault="00CF51D6" w:rsidP="00CF51D6">
      <w:pPr>
        <w:autoSpaceDE w:val="0"/>
        <w:autoSpaceDN w:val="0"/>
        <w:adjustRightInd w:val="0"/>
        <w:spacing w:after="0" w:line="240" w:lineRule="auto"/>
        <w:jc w:val="both"/>
        <w:rPr>
          <w:rFonts w:cs="Arial"/>
          <w:b/>
          <w:color w:val="4472C4" w:themeColor="accent5"/>
          <w:sz w:val="26"/>
        </w:rPr>
      </w:pPr>
    </w:p>
    <w:p w:rsidR="00C43C50" w:rsidRDefault="00C43C50" w:rsidP="0013270C">
      <w:pPr>
        <w:autoSpaceDE w:val="0"/>
        <w:autoSpaceDN w:val="0"/>
        <w:adjustRightInd w:val="0"/>
        <w:spacing w:after="0" w:line="240" w:lineRule="auto"/>
        <w:jc w:val="both"/>
        <w:rPr>
          <w:rFonts w:cs="Arial"/>
          <w:b/>
          <w:color w:val="4472C4" w:themeColor="accent5"/>
          <w:sz w:val="26"/>
        </w:rPr>
      </w:pPr>
      <w:r>
        <w:rPr>
          <w:rFonts w:cs="Arial"/>
          <w:b/>
          <w:color w:val="4472C4" w:themeColor="accent5"/>
          <w:sz w:val="26"/>
        </w:rPr>
        <w:t>Entity for global monitoring</w:t>
      </w:r>
    </w:p>
    <w:p w:rsidR="00CF51D6" w:rsidRDefault="00CF51D6" w:rsidP="00CF51D6">
      <w:pPr>
        <w:overflowPunct w:val="0"/>
        <w:autoSpaceDE w:val="0"/>
        <w:autoSpaceDN w:val="0"/>
        <w:adjustRightInd w:val="0"/>
        <w:spacing w:after="0" w:line="240" w:lineRule="auto"/>
        <w:jc w:val="both"/>
        <w:textAlignment w:val="baseline"/>
        <w:rPr>
          <w:rFonts w:eastAsia="MS Mincho" w:cs="Arial"/>
        </w:rPr>
      </w:pPr>
      <w:r>
        <w:rPr>
          <w:rFonts w:eastAsia="MS Mincho" w:cs="Arial"/>
        </w:rPr>
        <w:t>N</w:t>
      </w:r>
      <w:r w:rsidRPr="00EE6891">
        <w:rPr>
          <w:rFonts w:eastAsia="MS Mincho" w:cs="Arial"/>
        </w:rPr>
        <w:t xml:space="preserve">o organisation has </w:t>
      </w:r>
      <w:r>
        <w:rPr>
          <w:rFonts w:eastAsia="MS Mincho" w:cs="Arial"/>
        </w:rPr>
        <w:t>to date developed a global repository of data on</w:t>
      </w:r>
      <w:r w:rsidRPr="00EE6891">
        <w:rPr>
          <w:rFonts w:eastAsia="MS Mincho" w:cs="Arial"/>
        </w:rPr>
        <w:t xml:space="preserve"> women’s political participation at the local level. </w:t>
      </w:r>
      <w:r>
        <w:rPr>
          <w:rFonts w:eastAsia="MS Mincho" w:cs="Arial"/>
        </w:rPr>
        <w:t xml:space="preserve">This, however, would be essential for any future global indicator. The most likely candidate is </w:t>
      </w:r>
      <w:r w:rsidRPr="00755B67">
        <w:rPr>
          <w:rFonts w:eastAsia="MS Mincho" w:cs="Arial"/>
          <w:b/>
        </w:rPr>
        <w:t>United Cities and Local Governments (UCLG)</w:t>
      </w:r>
      <w:r>
        <w:rPr>
          <w:rFonts w:eastAsia="MS Mincho" w:cs="Arial"/>
        </w:rPr>
        <w:t xml:space="preserve">, </w:t>
      </w:r>
      <w:r w:rsidRPr="00EE6891">
        <w:rPr>
          <w:rFonts w:eastAsia="MS Mincho" w:cs="Arial"/>
        </w:rPr>
        <w:t>a global organization representing local governments, although it is expected that guidance and capacity building would be required</w:t>
      </w:r>
      <w:r w:rsidR="005A3816">
        <w:rPr>
          <w:rFonts w:eastAsia="MS Mincho" w:cs="Arial"/>
        </w:rPr>
        <w:t>.</w:t>
      </w:r>
    </w:p>
    <w:p w:rsidR="00CF51D6" w:rsidRDefault="00CF51D6" w:rsidP="00CF51D6">
      <w:pPr>
        <w:overflowPunct w:val="0"/>
        <w:autoSpaceDE w:val="0"/>
        <w:autoSpaceDN w:val="0"/>
        <w:adjustRightInd w:val="0"/>
        <w:spacing w:after="0" w:line="240" w:lineRule="auto"/>
        <w:jc w:val="both"/>
        <w:textAlignment w:val="baseline"/>
        <w:rPr>
          <w:rFonts w:eastAsia="MS Mincho" w:cs="Arial"/>
        </w:rPr>
      </w:pPr>
    </w:p>
    <w:p w:rsidR="00CF51D6" w:rsidRDefault="005A3816" w:rsidP="005A3816">
      <w:pPr>
        <w:overflowPunct w:val="0"/>
        <w:autoSpaceDE w:val="0"/>
        <w:autoSpaceDN w:val="0"/>
        <w:adjustRightInd w:val="0"/>
        <w:spacing w:after="0" w:line="240" w:lineRule="auto"/>
        <w:jc w:val="both"/>
        <w:textAlignment w:val="baseline"/>
        <w:rPr>
          <w:rFonts w:eastAsia="MS Mincho" w:cs="Arial"/>
        </w:rPr>
      </w:pPr>
      <w:r>
        <w:rPr>
          <w:rFonts w:eastAsia="MS Mincho" w:cs="Arial"/>
        </w:rPr>
        <w:t xml:space="preserve">Data could also be collected on a regional basis, in which case, the role of the </w:t>
      </w:r>
      <w:r w:rsidR="00CF51D6" w:rsidRPr="00EE6891">
        <w:rPr>
          <w:rFonts w:eastAsia="MS Mincho" w:cs="Arial"/>
        </w:rPr>
        <w:t>United Nations Regional Commissions</w:t>
      </w:r>
      <w:r>
        <w:rPr>
          <w:rFonts w:eastAsia="MS Mincho" w:cs="Arial"/>
        </w:rPr>
        <w:t xml:space="preserve"> could be strengthened</w:t>
      </w:r>
      <w:r w:rsidR="00CF51D6" w:rsidRPr="00EE6891">
        <w:rPr>
          <w:rFonts w:eastAsia="MS Mincho" w:cs="Arial"/>
        </w:rPr>
        <w:t>, led by United Nations Economic Commission for Latin America and the Caribbean (UN-ECLAC) and the United Nations Economic Commission for Europe (UNECE), which are already collecting data on women’s representation in local governments in their respective regions.</w:t>
      </w:r>
    </w:p>
    <w:p w:rsidR="005A3816" w:rsidRPr="00EE6891" w:rsidRDefault="005A3816" w:rsidP="005A3816">
      <w:pPr>
        <w:overflowPunct w:val="0"/>
        <w:autoSpaceDE w:val="0"/>
        <w:autoSpaceDN w:val="0"/>
        <w:adjustRightInd w:val="0"/>
        <w:spacing w:after="0" w:line="240" w:lineRule="auto"/>
        <w:jc w:val="both"/>
        <w:textAlignment w:val="baseline"/>
        <w:rPr>
          <w:rFonts w:eastAsia="MS Mincho" w:cs="Arial"/>
        </w:rPr>
      </w:pPr>
    </w:p>
    <w:p w:rsidR="00C43C50" w:rsidRDefault="00C43C50" w:rsidP="0013270C">
      <w:pPr>
        <w:autoSpaceDE w:val="0"/>
        <w:autoSpaceDN w:val="0"/>
        <w:adjustRightInd w:val="0"/>
        <w:spacing w:after="0" w:line="240" w:lineRule="auto"/>
        <w:jc w:val="both"/>
        <w:rPr>
          <w:rFonts w:cs="Arial"/>
          <w:b/>
          <w:color w:val="4472C4" w:themeColor="accent5"/>
          <w:sz w:val="26"/>
        </w:rPr>
      </w:pPr>
      <w:r>
        <w:rPr>
          <w:rFonts w:cs="Arial"/>
          <w:b/>
          <w:color w:val="4472C4" w:themeColor="accent5"/>
          <w:sz w:val="26"/>
        </w:rPr>
        <w:t>Monitoring process</w:t>
      </w:r>
    </w:p>
    <w:p w:rsidR="00755B67" w:rsidRPr="006F6201" w:rsidRDefault="00755B67" w:rsidP="006F6201">
      <w:pPr>
        <w:spacing w:after="0" w:line="240" w:lineRule="auto"/>
        <w:jc w:val="both"/>
        <w:rPr>
          <w:rFonts w:eastAsia="MS Mincho" w:cs="Arial"/>
        </w:rPr>
      </w:pPr>
      <w:r>
        <w:t>On the basis of an agreed tier structure, data would be</w:t>
      </w:r>
      <w:r w:rsidRPr="00EE6891">
        <w:t xml:space="preserve"> </w:t>
      </w:r>
      <w:r>
        <w:t xml:space="preserve">collected using a pre-prepared template for each country, with the identified tiers of government. </w:t>
      </w:r>
      <w:r>
        <w:rPr>
          <w:rFonts w:eastAsia="MS Mincho" w:cs="Arial"/>
        </w:rPr>
        <w:t>The</w:t>
      </w:r>
      <w:r w:rsidRPr="00EE6891">
        <w:rPr>
          <w:rFonts w:eastAsia="MS Mincho" w:cs="Arial"/>
        </w:rPr>
        <w:t xml:space="preserve"> typology </w:t>
      </w:r>
      <w:r>
        <w:rPr>
          <w:rFonts w:eastAsia="MS Mincho" w:cs="Arial"/>
        </w:rPr>
        <w:t>w</w:t>
      </w:r>
      <w:r w:rsidRPr="00EE6891">
        <w:rPr>
          <w:rFonts w:eastAsia="MS Mincho" w:cs="Arial"/>
        </w:rPr>
        <w:t>ould be shared with national statistics offices in original language</w:t>
      </w:r>
      <w:r w:rsidR="006F6201">
        <w:rPr>
          <w:rFonts w:eastAsia="MS Mincho" w:cs="Arial"/>
        </w:rPr>
        <w:t>,</w:t>
      </w:r>
      <w:r w:rsidRPr="00EE6891">
        <w:rPr>
          <w:rFonts w:eastAsia="MS Mincho" w:cs="Arial"/>
        </w:rPr>
        <w:t xml:space="preserve"> to be populated with relevant data.</w:t>
      </w:r>
      <w:r>
        <w:rPr>
          <w:rFonts w:eastAsia="MS Mincho" w:cs="Arial"/>
        </w:rPr>
        <w:t xml:space="preserve"> </w:t>
      </w:r>
      <w:r w:rsidR="006F6201">
        <w:rPr>
          <w:rFonts w:eastAsia="MS Mincho" w:cs="Arial"/>
        </w:rPr>
        <w:t>The data itself would typically</w:t>
      </w:r>
      <w:r w:rsidR="006F6201" w:rsidRPr="00EE6891">
        <w:rPr>
          <w:rFonts w:eastAsia="MS Mincho" w:cs="Arial"/>
        </w:rPr>
        <w:t xml:space="preserve"> be a</w:t>
      </w:r>
      <w:r w:rsidR="006F6201">
        <w:rPr>
          <w:rFonts w:eastAsia="MS Mincho" w:cs="Arial"/>
        </w:rPr>
        <w:t>n</w:t>
      </w:r>
      <w:r w:rsidR="006F6201" w:rsidRPr="00EE6891">
        <w:rPr>
          <w:rFonts w:eastAsia="MS Mincho" w:cs="Arial"/>
        </w:rPr>
        <w:t xml:space="preserve"> ‘administrative record’. </w:t>
      </w:r>
      <w:r>
        <w:t>This process is similar to that used by the Inter-Parliamentary Union in collecting data on women’s participation in national parliaments.</w:t>
      </w:r>
    </w:p>
    <w:p w:rsidR="00755B67" w:rsidRDefault="00755B67" w:rsidP="00755B67">
      <w:pPr>
        <w:shd w:val="clear" w:color="auto" w:fill="FFFFFF"/>
        <w:tabs>
          <w:tab w:val="left" w:pos="1579"/>
        </w:tabs>
        <w:overflowPunct w:val="0"/>
        <w:autoSpaceDE w:val="0"/>
        <w:autoSpaceDN w:val="0"/>
        <w:adjustRightInd w:val="0"/>
        <w:spacing w:after="0" w:line="240" w:lineRule="auto"/>
        <w:jc w:val="both"/>
        <w:textAlignment w:val="baseline"/>
      </w:pPr>
    </w:p>
    <w:p w:rsidR="00755B67" w:rsidRDefault="00755B67" w:rsidP="00755B67">
      <w:pPr>
        <w:spacing w:after="0" w:line="240" w:lineRule="auto"/>
        <w:jc w:val="both"/>
      </w:pPr>
      <w:r>
        <w:t>Data would be collected for each country at the same point in time (e.g. 1 January of each year), to capture “current” the number of women in local government at that time. This allows for time comparability.</w:t>
      </w:r>
    </w:p>
    <w:p w:rsidR="00755B67" w:rsidRDefault="00755B67" w:rsidP="00755B67">
      <w:pPr>
        <w:shd w:val="clear" w:color="auto" w:fill="FFFFFF"/>
        <w:tabs>
          <w:tab w:val="left" w:pos="1579"/>
        </w:tabs>
        <w:overflowPunct w:val="0"/>
        <w:autoSpaceDE w:val="0"/>
        <w:autoSpaceDN w:val="0"/>
        <w:adjustRightInd w:val="0"/>
        <w:spacing w:after="0" w:line="240" w:lineRule="auto"/>
        <w:jc w:val="both"/>
        <w:textAlignment w:val="baseline"/>
      </w:pPr>
    </w:p>
    <w:p w:rsidR="00755B67" w:rsidRDefault="00755B67" w:rsidP="00755B67">
      <w:pPr>
        <w:shd w:val="clear" w:color="auto" w:fill="FFFFFF"/>
        <w:tabs>
          <w:tab w:val="left" w:pos="1579"/>
        </w:tabs>
        <w:overflowPunct w:val="0"/>
        <w:autoSpaceDE w:val="0"/>
        <w:autoSpaceDN w:val="0"/>
        <w:adjustRightInd w:val="0"/>
        <w:spacing w:after="0" w:line="240" w:lineRule="auto"/>
        <w:jc w:val="both"/>
        <w:textAlignment w:val="baseline"/>
      </w:pPr>
      <w:r>
        <w:lastRenderedPageBreak/>
        <w:t>Data would need to be entered into a global repository (database), held by the entity for global monitoring, but made publicly available for potential review.</w:t>
      </w:r>
    </w:p>
    <w:p w:rsidR="00755B67" w:rsidRDefault="00755B67" w:rsidP="00755B67">
      <w:pPr>
        <w:shd w:val="clear" w:color="auto" w:fill="FFFFFF"/>
        <w:tabs>
          <w:tab w:val="left" w:pos="1579"/>
        </w:tabs>
        <w:overflowPunct w:val="0"/>
        <w:autoSpaceDE w:val="0"/>
        <w:autoSpaceDN w:val="0"/>
        <w:adjustRightInd w:val="0"/>
        <w:spacing w:after="0" w:line="240" w:lineRule="auto"/>
        <w:jc w:val="both"/>
        <w:textAlignment w:val="baseline"/>
      </w:pPr>
    </w:p>
    <w:p w:rsidR="009F14B4" w:rsidRPr="009F14B4" w:rsidRDefault="00236F70" w:rsidP="006F6201">
      <w:pPr>
        <w:autoSpaceDE w:val="0"/>
        <w:autoSpaceDN w:val="0"/>
        <w:adjustRightInd w:val="0"/>
        <w:spacing w:after="0" w:line="240" w:lineRule="auto"/>
        <w:jc w:val="both"/>
        <w:rPr>
          <w:b/>
          <w:color w:val="4472C4" w:themeColor="accent5"/>
        </w:rPr>
      </w:pPr>
      <w:r>
        <w:rPr>
          <w:rFonts w:cs="Arial"/>
          <w:b/>
          <w:color w:val="4472C4" w:themeColor="accent5"/>
          <w:sz w:val="26"/>
        </w:rPr>
        <w:br w:type="column"/>
      </w:r>
      <w:r w:rsidR="009F14B4" w:rsidRPr="00ED114C">
        <w:rPr>
          <w:rFonts w:cs="Arial"/>
          <w:b/>
          <w:color w:val="4472C4" w:themeColor="accent5"/>
          <w:sz w:val="26"/>
        </w:rPr>
        <w:lastRenderedPageBreak/>
        <w:t>Annex I: Data from the Regions</w:t>
      </w:r>
    </w:p>
    <w:p w:rsidR="009F14B4" w:rsidRDefault="009F14B4" w:rsidP="009F14B4">
      <w:pPr>
        <w:shd w:val="clear" w:color="auto" w:fill="FFFFFF"/>
        <w:overflowPunct w:val="0"/>
        <w:autoSpaceDE w:val="0"/>
        <w:autoSpaceDN w:val="0"/>
        <w:adjustRightInd w:val="0"/>
        <w:spacing w:after="0" w:line="240" w:lineRule="auto"/>
        <w:jc w:val="both"/>
        <w:textAlignment w:val="baseline"/>
      </w:pPr>
    </w:p>
    <w:p w:rsidR="009F14B4" w:rsidRPr="00393A26" w:rsidRDefault="009F14B4" w:rsidP="009F14B4">
      <w:pPr>
        <w:shd w:val="clear" w:color="auto" w:fill="FFFFFF"/>
        <w:overflowPunct w:val="0"/>
        <w:autoSpaceDE w:val="0"/>
        <w:autoSpaceDN w:val="0"/>
        <w:adjustRightInd w:val="0"/>
        <w:spacing w:after="0" w:line="240" w:lineRule="auto"/>
        <w:jc w:val="both"/>
        <w:textAlignment w:val="baseline"/>
        <w:rPr>
          <w:b/>
        </w:rPr>
      </w:pPr>
      <w:r w:rsidRPr="00393A26">
        <w:rPr>
          <w:b/>
        </w:rPr>
        <w:t>Data from Europe</w:t>
      </w:r>
    </w:p>
    <w:p w:rsidR="009F14B4" w:rsidRPr="00EE6891" w:rsidRDefault="009F14B4" w:rsidP="009F14B4">
      <w:pPr>
        <w:shd w:val="clear" w:color="auto" w:fill="FFFFFF"/>
        <w:overflowPunct w:val="0"/>
        <w:autoSpaceDE w:val="0"/>
        <w:autoSpaceDN w:val="0"/>
        <w:adjustRightInd w:val="0"/>
        <w:spacing w:after="0" w:line="240" w:lineRule="auto"/>
        <w:jc w:val="both"/>
        <w:textAlignment w:val="baseline"/>
      </w:pPr>
      <w:r w:rsidRPr="00EE6891">
        <w:t xml:space="preserve">The European Commission database presents sex-disaggregated data on the membership of local or municipal councils, as well as the percentage of women mayors or leaders of the municipal council. </w:t>
      </w:r>
      <w:r w:rsidRPr="00393A26">
        <w:t>The names of these positions vary between countries. Data are collected for the lowest level of the</w:t>
      </w:r>
      <w:r w:rsidRPr="00EE6891">
        <w:t xml:space="preserve"> administrative subdivision where representatives are elected, generally known as municipalities. </w:t>
      </w:r>
      <w:r w:rsidRPr="00393A26">
        <w:t>While municipalities or their equivalents are covered in most countries, depending on the size of the municipality, there can be two tiers of systems (as in Turkey, Cyprus and Portugal). In these cases, only the larger system is covered. Country coverage is not always consistent over time. In 2011, the database included data on mayors in 34 countries and members of local councils in 31 countries, while</w:t>
      </w:r>
      <w:r w:rsidRPr="00EE6891">
        <w:t xml:space="preserve"> in 2013, the database included data on mayors in 34 countries and local council members in 30 countries.</w:t>
      </w:r>
    </w:p>
    <w:p w:rsidR="009F14B4" w:rsidRPr="00EE6891" w:rsidRDefault="009F14B4" w:rsidP="009F14B4">
      <w:pPr>
        <w:overflowPunct w:val="0"/>
        <w:autoSpaceDE w:val="0"/>
        <w:autoSpaceDN w:val="0"/>
        <w:adjustRightInd w:val="0"/>
        <w:spacing w:after="0" w:line="240" w:lineRule="auto"/>
        <w:ind w:right="-426"/>
        <w:jc w:val="both"/>
        <w:textAlignment w:val="baseline"/>
        <w:rPr>
          <w:rFonts w:eastAsia="MS Mincho" w:cs="Arial"/>
          <w:color w:val="000000"/>
        </w:rPr>
      </w:pPr>
    </w:p>
    <w:p w:rsidR="009F14B4" w:rsidRPr="00EE6891" w:rsidRDefault="009F14B4" w:rsidP="009F14B4">
      <w:pPr>
        <w:shd w:val="clear" w:color="auto" w:fill="FFFFFF"/>
        <w:overflowPunct w:val="0"/>
        <w:autoSpaceDE w:val="0"/>
        <w:autoSpaceDN w:val="0"/>
        <w:adjustRightInd w:val="0"/>
        <w:spacing w:after="0" w:line="240" w:lineRule="auto"/>
        <w:jc w:val="both"/>
        <w:textAlignment w:val="baseline"/>
      </w:pPr>
      <w:r w:rsidRPr="00EE6891">
        <w:rPr>
          <w:rFonts w:eastAsia="MS Mincho" w:cs="Arial"/>
          <w:color w:val="000000"/>
        </w:rPr>
        <w:t>The United Nations Economic Commission for Europe (UN-ECE) database includes data on the members of the municipal councils</w:t>
      </w:r>
      <w:r w:rsidRPr="00EE6891">
        <w:t>. The Nomenclature of Territorial Units for Statistics (NUTS) establishes a hierarchical system for EU economic territories, for the purpose of data collection, socio-economic analysis and framing of EU regional policies. The UNECE database compiles data from 36 countries, although this is not systematically collected over time (the database holds data for 8 countries for the year 1980, 20 countries for the year 2000</w:t>
      </w:r>
      <w:r>
        <w:t>,</w:t>
      </w:r>
      <w:r w:rsidRPr="00EE6891">
        <w:t xml:space="preserve"> 11 for the year 2011</w:t>
      </w:r>
      <w:r>
        <w:t>, and 14 for 2013</w:t>
      </w:r>
      <w:r w:rsidRPr="00EE6891">
        <w:t xml:space="preserve">). Data comparability is also limited, with some countries reporting data on councillors and mayors, but others only reporting data on councillors. The UNECE collects, on biennial basis, gender statistics from the national statistics offices by asking the gender focal point in the statistics offices to fill in data templates pertaining to various gender fields. The gender focal points also coordinate the gathering of the required data within their statistical system. </w:t>
      </w:r>
    </w:p>
    <w:p w:rsidR="009F14B4" w:rsidRPr="00EE6891" w:rsidRDefault="009F14B4" w:rsidP="009F14B4">
      <w:pPr>
        <w:shd w:val="clear" w:color="auto" w:fill="FFFFFF"/>
        <w:tabs>
          <w:tab w:val="left" w:pos="1579"/>
        </w:tabs>
        <w:overflowPunct w:val="0"/>
        <w:autoSpaceDE w:val="0"/>
        <w:autoSpaceDN w:val="0"/>
        <w:adjustRightInd w:val="0"/>
        <w:spacing w:after="0" w:line="240" w:lineRule="auto"/>
        <w:jc w:val="both"/>
        <w:textAlignment w:val="baseline"/>
      </w:pPr>
    </w:p>
    <w:p w:rsidR="009F14B4" w:rsidRPr="00393A26" w:rsidRDefault="009F14B4" w:rsidP="009F14B4">
      <w:pPr>
        <w:shd w:val="clear" w:color="auto" w:fill="FFFFFF"/>
        <w:overflowPunct w:val="0"/>
        <w:autoSpaceDE w:val="0"/>
        <w:autoSpaceDN w:val="0"/>
        <w:adjustRightInd w:val="0"/>
        <w:spacing w:after="0" w:line="240" w:lineRule="auto"/>
        <w:jc w:val="both"/>
        <w:textAlignment w:val="baseline"/>
        <w:rPr>
          <w:b/>
        </w:rPr>
      </w:pPr>
      <w:r w:rsidRPr="00393A26">
        <w:rPr>
          <w:b/>
        </w:rPr>
        <w:t>Data from Latin America and the Caribbean</w:t>
      </w:r>
    </w:p>
    <w:p w:rsidR="009F14B4" w:rsidRDefault="009F14B4" w:rsidP="009F14B4">
      <w:pPr>
        <w:shd w:val="clear" w:color="auto" w:fill="FFFFFF"/>
        <w:overflowPunct w:val="0"/>
        <w:autoSpaceDE w:val="0"/>
        <w:autoSpaceDN w:val="0"/>
        <w:adjustRightInd w:val="0"/>
        <w:spacing w:after="0" w:line="240" w:lineRule="auto"/>
        <w:jc w:val="both"/>
        <w:textAlignment w:val="baseline"/>
      </w:pPr>
      <w:r>
        <w:t>T</w:t>
      </w:r>
      <w:r w:rsidRPr="00EE6891">
        <w:t xml:space="preserve">he Economic Commission for Latin America and the Caribbean (UN-ECLAC) database includes data on mayors in 17 countries for 1998 and 25 countries in 2012; and data on council members in 16 countries for 1998 and 19 countries in 2012. </w:t>
      </w:r>
    </w:p>
    <w:p w:rsidR="009F14B4" w:rsidRDefault="009F14B4" w:rsidP="009F14B4">
      <w:pPr>
        <w:shd w:val="clear" w:color="auto" w:fill="FFFFFF"/>
        <w:overflowPunct w:val="0"/>
        <w:autoSpaceDE w:val="0"/>
        <w:autoSpaceDN w:val="0"/>
        <w:adjustRightInd w:val="0"/>
        <w:spacing w:after="0" w:line="240" w:lineRule="auto"/>
        <w:jc w:val="both"/>
        <w:textAlignment w:val="baseline"/>
      </w:pPr>
    </w:p>
    <w:p w:rsidR="009F14B4" w:rsidRPr="00EE6891" w:rsidRDefault="009F14B4" w:rsidP="009F14B4">
      <w:pPr>
        <w:shd w:val="clear" w:color="auto" w:fill="FFFFFF"/>
        <w:overflowPunct w:val="0"/>
        <w:autoSpaceDE w:val="0"/>
        <w:autoSpaceDN w:val="0"/>
        <w:adjustRightInd w:val="0"/>
        <w:spacing w:after="0" w:line="240" w:lineRule="auto"/>
        <w:jc w:val="both"/>
        <w:textAlignment w:val="baseline"/>
      </w:pPr>
      <w:r w:rsidRPr="00EE6891">
        <w:t>The Gender Equality Observatory for Latin America and the Caribbean, hosted at the UN-ECLAC’s Gender Affairs’ Division, presents data on women’s political participation at the local level for 29 countries in Latin America, the Caribbean and the Iberian Peninsula from 1998 to 2013. In 2013, the average representation of women in local government in Latin America was 12 percent for mayors and 26.2 percent for city councillors.</w:t>
      </w:r>
    </w:p>
    <w:p w:rsidR="009F14B4" w:rsidRPr="00EE6891" w:rsidRDefault="009F14B4" w:rsidP="009F14B4">
      <w:pPr>
        <w:shd w:val="clear" w:color="auto" w:fill="FFFFFF"/>
        <w:overflowPunct w:val="0"/>
        <w:autoSpaceDE w:val="0"/>
        <w:autoSpaceDN w:val="0"/>
        <w:adjustRightInd w:val="0"/>
        <w:spacing w:after="0" w:line="240" w:lineRule="auto"/>
        <w:jc w:val="both"/>
        <w:textAlignment w:val="baseline"/>
      </w:pPr>
    </w:p>
    <w:p w:rsidR="009F14B4" w:rsidRPr="00393A26" w:rsidRDefault="009F14B4" w:rsidP="009F14B4">
      <w:pPr>
        <w:shd w:val="clear" w:color="auto" w:fill="FFFFFF"/>
        <w:tabs>
          <w:tab w:val="left" w:pos="1579"/>
        </w:tabs>
        <w:overflowPunct w:val="0"/>
        <w:autoSpaceDE w:val="0"/>
        <w:autoSpaceDN w:val="0"/>
        <w:adjustRightInd w:val="0"/>
        <w:spacing w:after="0" w:line="240" w:lineRule="auto"/>
        <w:jc w:val="both"/>
        <w:textAlignment w:val="baseline"/>
        <w:rPr>
          <w:b/>
        </w:rPr>
      </w:pPr>
      <w:r w:rsidRPr="00393A26">
        <w:rPr>
          <w:b/>
        </w:rPr>
        <w:t>Data from Asia-Pacific</w:t>
      </w:r>
    </w:p>
    <w:p w:rsidR="009F14B4" w:rsidRPr="00EE6891" w:rsidRDefault="009F14B4" w:rsidP="009F14B4">
      <w:pPr>
        <w:shd w:val="clear" w:color="auto" w:fill="FFFFFF"/>
        <w:tabs>
          <w:tab w:val="left" w:pos="1579"/>
        </w:tabs>
        <w:overflowPunct w:val="0"/>
        <w:autoSpaceDE w:val="0"/>
        <w:autoSpaceDN w:val="0"/>
        <w:adjustRightInd w:val="0"/>
        <w:spacing w:after="0" w:line="240" w:lineRule="auto"/>
        <w:jc w:val="both"/>
        <w:textAlignment w:val="baseline"/>
      </w:pPr>
      <w:r w:rsidRPr="00EE6891">
        <w:t xml:space="preserve">Women’s political participation at the local level in the Asia-Pacific region has been analysed in two reports. Firstly, the report “Women’s Representation in Local Government in Asia-Pacific: Status Report 2010” was published jointly by UNDP, CLGF, UNIFEM and UCLG in 2010. It forms a baseline measure of women’s representation in sub-national government in the Asia Pacific region on a country-by-country basis. The second report of reference is “Gender Equality Women’s participation and leadership in governments at the local level, Asia and the Pacific 2013”, published by UNDP in 2014. This study explores women’s political participation in local government in </w:t>
      </w:r>
      <w:r w:rsidR="00ED114C">
        <w:t xml:space="preserve">19 countries across </w:t>
      </w:r>
      <w:r w:rsidRPr="00EE6891">
        <w:t>the Asia-Pacific region. Although women’s representation has increased in national parliaments in the region, going from 11.9 percent in 2010 to 13.1 percent in 2013, their presence at the sub-national level has decreased from 23.8 percent in 2010 to 20.8 percent in 2013. The report disaggregates data by rural councils, urban councils, district councils and regional assemblies.</w:t>
      </w:r>
    </w:p>
    <w:p w:rsidR="009F14B4" w:rsidRDefault="009F14B4" w:rsidP="009F14B4">
      <w:pPr>
        <w:shd w:val="clear" w:color="auto" w:fill="FFFFFF"/>
        <w:overflowPunct w:val="0"/>
        <w:autoSpaceDE w:val="0"/>
        <w:autoSpaceDN w:val="0"/>
        <w:adjustRightInd w:val="0"/>
        <w:spacing w:after="0" w:line="240" w:lineRule="auto"/>
        <w:jc w:val="both"/>
        <w:textAlignment w:val="baseline"/>
      </w:pPr>
    </w:p>
    <w:p w:rsidR="009F14B4" w:rsidRDefault="009F14B4">
      <w:pPr>
        <w:spacing w:after="160" w:line="259" w:lineRule="auto"/>
        <w:rPr>
          <w:b/>
        </w:rPr>
      </w:pPr>
      <w:r>
        <w:rPr>
          <w:b/>
        </w:rPr>
        <w:br w:type="page"/>
      </w:r>
    </w:p>
    <w:p w:rsidR="009F14B4" w:rsidRPr="00393A26" w:rsidRDefault="009F14B4" w:rsidP="009F14B4">
      <w:pPr>
        <w:shd w:val="clear" w:color="auto" w:fill="FFFFFF"/>
        <w:overflowPunct w:val="0"/>
        <w:autoSpaceDE w:val="0"/>
        <w:autoSpaceDN w:val="0"/>
        <w:adjustRightInd w:val="0"/>
        <w:spacing w:after="0" w:line="240" w:lineRule="auto"/>
        <w:jc w:val="both"/>
        <w:textAlignment w:val="baseline"/>
        <w:rPr>
          <w:b/>
        </w:rPr>
      </w:pPr>
      <w:r w:rsidRPr="00393A26">
        <w:rPr>
          <w:b/>
        </w:rPr>
        <w:lastRenderedPageBreak/>
        <w:t>Data from Africa</w:t>
      </w:r>
    </w:p>
    <w:p w:rsidR="009F14B4" w:rsidRPr="00EE6891" w:rsidRDefault="009F14B4" w:rsidP="009F14B4">
      <w:pPr>
        <w:shd w:val="clear" w:color="auto" w:fill="FFFFFF"/>
        <w:overflowPunct w:val="0"/>
        <w:autoSpaceDE w:val="0"/>
        <w:autoSpaceDN w:val="0"/>
        <w:adjustRightInd w:val="0"/>
        <w:spacing w:after="0" w:line="240" w:lineRule="auto"/>
        <w:jc w:val="both"/>
        <w:textAlignment w:val="baseline"/>
      </w:pPr>
      <w:r w:rsidRPr="00EE6891">
        <w:t>Data on women’s representation in local gover</w:t>
      </w:r>
      <w:r>
        <w:t xml:space="preserve">nment is very limited in Africa as </w:t>
      </w:r>
      <w:r w:rsidRPr="00EE6891">
        <w:t xml:space="preserve">there is no </w:t>
      </w:r>
      <w:r>
        <w:t xml:space="preserve">aggregate level data source. </w:t>
      </w:r>
      <w:r w:rsidRPr="00EE6891">
        <w:t>On the basis of country submissions to the UN Secretary General’s report on the implementation of UN Resolution 66/130 on women and political participation, data is available for women councillors from 12 countries and on women mayors from 10 countries, between 2003 and 2009. The representation of women in local councils ranges from a low of 3.2 percent in Benin to a high of 41.7 percent in Uganda. The participation of women as mayors ranges from a low of three percent in Mozambique and Uganda to a high of 40 percent in Mauritius.</w:t>
      </w:r>
    </w:p>
    <w:p w:rsidR="009F14B4" w:rsidRDefault="009F14B4" w:rsidP="009F14B4">
      <w:pPr>
        <w:shd w:val="clear" w:color="auto" w:fill="FFFFFF"/>
        <w:tabs>
          <w:tab w:val="left" w:pos="1579"/>
        </w:tabs>
        <w:overflowPunct w:val="0"/>
        <w:autoSpaceDE w:val="0"/>
        <w:autoSpaceDN w:val="0"/>
        <w:adjustRightInd w:val="0"/>
        <w:spacing w:after="0" w:line="240" w:lineRule="auto"/>
        <w:jc w:val="both"/>
        <w:textAlignment w:val="baseline"/>
        <w:rPr>
          <w:b/>
        </w:rPr>
      </w:pPr>
    </w:p>
    <w:p w:rsidR="009F14B4" w:rsidRPr="00393A26" w:rsidRDefault="009F14B4" w:rsidP="009F14B4">
      <w:pPr>
        <w:shd w:val="clear" w:color="auto" w:fill="FFFFFF"/>
        <w:tabs>
          <w:tab w:val="left" w:pos="1579"/>
        </w:tabs>
        <w:overflowPunct w:val="0"/>
        <w:autoSpaceDE w:val="0"/>
        <w:autoSpaceDN w:val="0"/>
        <w:adjustRightInd w:val="0"/>
        <w:spacing w:after="0" w:line="240" w:lineRule="auto"/>
        <w:jc w:val="both"/>
        <w:textAlignment w:val="baseline"/>
        <w:rPr>
          <w:b/>
        </w:rPr>
      </w:pPr>
      <w:r w:rsidRPr="00393A26">
        <w:rPr>
          <w:b/>
        </w:rPr>
        <w:t>Data from the Arab States</w:t>
      </w:r>
    </w:p>
    <w:p w:rsidR="009F14B4" w:rsidRPr="00EE6891" w:rsidRDefault="009F14B4" w:rsidP="009F14B4">
      <w:pPr>
        <w:shd w:val="clear" w:color="auto" w:fill="FFFFFF"/>
        <w:tabs>
          <w:tab w:val="left" w:pos="1579"/>
        </w:tabs>
        <w:overflowPunct w:val="0"/>
        <w:autoSpaceDE w:val="0"/>
        <w:autoSpaceDN w:val="0"/>
        <w:adjustRightInd w:val="0"/>
        <w:spacing w:after="0" w:line="240" w:lineRule="auto"/>
        <w:jc w:val="both"/>
        <w:textAlignment w:val="baseline"/>
      </w:pPr>
      <w:r w:rsidRPr="00EE6891">
        <w:t>In the Arab region, data on women’s participation at the local level has been difficult to gather. On the basis of country submissions to the UN Secretary General’s report on the implementation of UN Resolution 66/130 on women and political participation, data was collected on women councillors from 4 countries and on women mayors from 3 countries, across various points in time.</w:t>
      </w:r>
    </w:p>
    <w:p w:rsidR="009F14B4" w:rsidRDefault="009F14B4" w:rsidP="009F14B4">
      <w:pPr>
        <w:shd w:val="clear" w:color="auto" w:fill="FFFFFF"/>
        <w:tabs>
          <w:tab w:val="left" w:pos="1579"/>
        </w:tabs>
        <w:overflowPunct w:val="0"/>
        <w:autoSpaceDE w:val="0"/>
        <w:autoSpaceDN w:val="0"/>
        <w:adjustRightInd w:val="0"/>
        <w:spacing w:after="0" w:line="240" w:lineRule="auto"/>
        <w:jc w:val="both"/>
        <w:textAlignment w:val="baseline"/>
        <w:rPr>
          <w:bCs/>
        </w:rPr>
      </w:pPr>
    </w:p>
    <w:p w:rsidR="0013270C" w:rsidRPr="00EE6891" w:rsidRDefault="0013270C" w:rsidP="0013270C">
      <w:pPr>
        <w:spacing w:after="0" w:line="240" w:lineRule="auto"/>
      </w:pPr>
    </w:p>
    <w:sectPr w:rsidR="0013270C" w:rsidRPr="00EE689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B2B" w:rsidRDefault="00076B2B" w:rsidP="0013270C">
      <w:pPr>
        <w:spacing w:after="0" w:line="240" w:lineRule="auto"/>
      </w:pPr>
      <w:r>
        <w:separator/>
      </w:r>
    </w:p>
  </w:endnote>
  <w:endnote w:type="continuationSeparator" w:id="0">
    <w:p w:rsidR="00076B2B" w:rsidRDefault="00076B2B" w:rsidP="00132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B2B" w:rsidRDefault="00076B2B" w:rsidP="0013270C">
      <w:pPr>
        <w:spacing w:after="0" w:line="240" w:lineRule="auto"/>
      </w:pPr>
      <w:r>
        <w:separator/>
      </w:r>
    </w:p>
  </w:footnote>
  <w:footnote w:type="continuationSeparator" w:id="0">
    <w:p w:rsidR="00076B2B" w:rsidRDefault="00076B2B" w:rsidP="0013270C">
      <w:pPr>
        <w:spacing w:after="0" w:line="240" w:lineRule="auto"/>
      </w:pPr>
      <w:r>
        <w:continuationSeparator/>
      </w:r>
    </w:p>
  </w:footnote>
  <w:footnote w:id="1">
    <w:p w:rsidR="00C43C50" w:rsidRPr="00C01CB7" w:rsidRDefault="00C43C50" w:rsidP="00C43C50">
      <w:pPr>
        <w:pStyle w:val="FootnoteText"/>
        <w:ind w:left="180" w:hanging="180"/>
        <w:rPr>
          <w:lang w:val="en-US"/>
        </w:rPr>
      </w:pPr>
      <w:r>
        <w:rPr>
          <w:rStyle w:val="FootnoteReference"/>
        </w:rPr>
        <w:footnoteRef/>
      </w:r>
      <w:r>
        <w:t xml:space="preserve"> </w:t>
      </w:r>
      <w:r>
        <w:tab/>
        <w:t xml:space="preserve">Economic and Social Council, 2014, </w:t>
      </w:r>
      <w:r w:rsidRPr="00C01CB7">
        <w:rPr>
          <w:i/>
        </w:rPr>
        <w:t>Review and appraisal of the implementation of the Beijing Declaration and Platform for Action and the outcomes of the twenty-third special session of the General Assembly Report of the Secretary-General,</w:t>
      </w:r>
      <w:r>
        <w:t xml:space="preserve"> </w:t>
      </w:r>
      <w:r>
        <w:rPr>
          <w:lang w:val="en-US"/>
        </w:rPr>
        <w:t>Paragraph 388, page 104.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13A85"/>
    <w:multiLevelType w:val="hybridMultilevel"/>
    <w:tmpl w:val="5FBC46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EE10D64"/>
    <w:multiLevelType w:val="hybridMultilevel"/>
    <w:tmpl w:val="F29C02D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
    <w:nsid w:val="0FE161AE"/>
    <w:multiLevelType w:val="hybridMultilevel"/>
    <w:tmpl w:val="1818D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1F46B57"/>
    <w:multiLevelType w:val="hybridMultilevel"/>
    <w:tmpl w:val="6BAE6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BB23172"/>
    <w:multiLevelType w:val="hybridMultilevel"/>
    <w:tmpl w:val="55B45FB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4DCB322A"/>
    <w:multiLevelType w:val="hybridMultilevel"/>
    <w:tmpl w:val="6FD6C8A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6">
    <w:nsid w:val="50B318D8"/>
    <w:multiLevelType w:val="hybridMultilevel"/>
    <w:tmpl w:val="8BD0551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51E927DB"/>
    <w:multiLevelType w:val="hybridMultilevel"/>
    <w:tmpl w:val="591605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AD7789E"/>
    <w:multiLevelType w:val="hybridMultilevel"/>
    <w:tmpl w:val="0994ED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B3116E2"/>
    <w:multiLevelType w:val="hybridMultilevel"/>
    <w:tmpl w:val="2DC8B8A6"/>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7E9D1D61"/>
    <w:multiLevelType w:val="hybridMultilevel"/>
    <w:tmpl w:val="B6BCE3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1"/>
  </w:num>
  <w:num w:numId="5">
    <w:abstractNumId w:val="0"/>
  </w:num>
  <w:num w:numId="6">
    <w:abstractNumId w:val="4"/>
  </w:num>
  <w:num w:numId="7">
    <w:abstractNumId w:val="3"/>
  </w:num>
  <w:num w:numId="8">
    <w:abstractNumId w:val="8"/>
  </w:num>
  <w:num w:numId="9">
    <w:abstractNumId w:val="9"/>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70C"/>
    <w:rsid w:val="00016BED"/>
    <w:rsid w:val="00076B2B"/>
    <w:rsid w:val="00105E7B"/>
    <w:rsid w:val="0013270C"/>
    <w:rsid w:val="001A32D7"/>
    <w:rsid w:val="001D407B"/>
    <w:rsid w:val="002019E8"/>
    <w:rsid w:val="00205235"/>
    <w:rsid w:val="00236F70"/>
    <w:rsid w:val="002612EB"/>
    <w:rsid w:val="00302FF7"/>
    <w:rsid w:val="00393A26"/>
    <w:rsid w:val="00401DEC"/>
    <w:rsid w:val="004A5D30"/>
    <w:rsid w:val="00555A1F"/>
    <w:rsid w:val="005A3816"/>
    <w:rsid w:val="00692523"/>
    <w:rsid w:val="00693AF8"/>
    <w:rsid w:val="006B7C8F"/>
    <w:rsid w:val="006F6201"/>
    <w:rsid w:val="00755B67"/>
    <w:rsid w:val="008931B8"/>
    <w:rsid w:val="008C0A2A"/>
    <w:rsid w:val="009F14B4"/>
    <w:rsid w:val="009F3B69"/>
    <w:rsid w:val="00AD307B"/>
    <w:rsid w:val="00AE158D"/>
    <w:rsid w:val="00B2583D"/>
    <w:rsid w:val="00B41EF3"/>
    <w:rsid w:val="00BD7A9E"/>
    <w:rsid w:val="00BE1790"/>
    <w:rsid w:val="00BE352E"/>
    <w:rsid w:val="00BF74F9"/>
    <w:rsid w:val="00C01CB7"/>
    <w:rsid w:val="00C21149"/>
    <w:rsid w:val="00C43C50"/>
    <w:rsid w:val="00CF51D6"/>
    <w:rsid w:val="00D477C5"/>
    <w:rsid w:val="00ED114C"/>
    <w:rsid w:val="00EE6891"/>
    <w:rsid w:val="00EF3330"/>
    <w:rsid w:val="00FB1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70C"/>
    <w:pPr>
      <w:spacing w:after="200" w:line="276" w:lineRule="auto"/>
    </w:pPr>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3270C"/>
    <w:pPr>
      <w:ind w:left="720"/>
      <w:contextualSpacing/>
    </w:pPr>
  </w:style>
  <w:style w:type="paragraph" w:customStyle="1" w:styleId="Default">
    <w:name w:val="Default"/>
    <w:rsid w:val="0013270C"/>
    <w:pPr>
      <w:widowControl w:val="0"/>
      <w:autoSpaceDE w:val="0"/>
      <w:autoSpaceDN w:val="0"/>
      <w:adjustRightInd w:val="0"/>
      <w:spacing w:after="0" w:line="240" w:lineRule="auto"/>
    </w:pPr>
    <w:rPr>
      <w:rFonts w:ascii="Arial" w:eastAsiaTheme="minorEastAsia" w:hAnsi="Arial" w:cs="Arial"/>
      <w:color w:val="000000"/>
      <w:sz w:val="24"/>
      <w:szCs w:val="24"/>
      <w:lang w:val="es-ES" w:eastAsia="es-ES"/>
    </w:rPr>
  </w:style>
  <w:style w:type="paragraph" w:styleId="FootnoteText">
    <w:name w:val="footnote text"/>
    <w:basedOn w:val="Normal"/>
    <w:link w:val="FootnoteTextChar"/>
    <w:uiPriority w:val="99"/>
    <w:semiHidden/>
    <w:unhideWhenUsed/>
    <w:rsid w:val="001327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270C"/>
    <w:rPr>
      <w:sz w:val="20"/>
      <w:szCs w:val="20"/>
      <w:lang w:val="en-AU"/>
    </w:rPr>
  </w:style>
  <w:style w:type="character" w:styleId="FootnoteReference">
    <w:name w:val="footnote reference"/>
    <w:basedOn w:val="DefaultParagraphFont"/>
    <w:uiPriority w:val="99"/>
    <w:semiHidden/>
    <w:unhideWhenUsed/>
    <w:rsid w:val="0013270C"/>
    <w:rPr>
      <w:vertAlign w:val="superscript"/>
    </w:rPr>
  </w:style>
  <w:style w:type="character" w:customStyle="1" w:styleId="ListParagraphChar">
    <w:name w:val="List Paragraph Char"/>
    <w:basedOn w:val="DefaultParagraphFont"/>
    <w:link w:val="ListParagraph"/>
    <w:uiPriority w:val="34"/>
    <w:locked/>
    <w:rsid w:val="0013270C"/>
    <w:rPr>
      <w:lang w:val="en-AU"/>
    </w:rPr>
  </w:style>
  <w:style w:type="paragraph" w:styleId="BalloonText">
    <w:name w:val="Balloon Text"/>
    <w:basedOn w:val="Normal"/>
    <w:link w:val="BalloonTextChar"/>
    <w:uiPriority w:val="99"/>
    <w:semiHidden/>
    <w:unhideWhenUsed/>
    <w:rsid w:val="00C01C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CB7"/>
    <w:rPr>
      <w:rFonts w:ascii="Segoe UI" w:hAnsi="Segoe UI" w:cs="Segoe UI"/>
      <w:sz w:val="18"/>
      <w:szCs w:val="18"/>
      <w:lang w:val="en-AU"/>
    </w:rPr>
  </w:style>
  <w:style w:type="character" w:styleId="CommentReference">
    <w:name w:val="annotation reference"/>
    <w:basedOn w:val="DefaultParagraphFont"/>
    <w:uiPriority w:val="99"/>
    <w:semiHidden/>
    <w:unhideWhenUsed/>
    <w:rsid w:val="00205235"/>
    <w:rPr>
      <w:sz w:val="16"/>
      <w:szCs w:val="16"/>
    </w:rPr>
  </w:style>
  <w:style w:type="paragraph" w:styleId="CommentText">
    <w:name w:val="annotation text"/>
    <w:basedOn w:val="Normal"/>
    <w:link w:val="CommentTextChar"/>
    <w:uiPriority w:val="99"/>
    <w:semiHidden/>
    <w:unhideWhenUsed/>
    <w:rsid w:val="00205235"/>
    <w:pPr>
      <w:spacing w:line="240" w:lineRule="auto"/>
    </w:pPr>
    <w:rPr>
      <w:sz w:val="20"/>
      <w:szCs w:val="20"/>
    </w:rPr>
  </w:style>
  <w:style w:type="character" w:customStyle="1" w:styleId="CommentTextChar">
    <w:name w:val="Comment Text Char"/>
    <w:basedOn w:val="DefaultParagraphFont"/>
    <w:link w:val="CommentText"/>
    <w:uiPriority w:val="99"/>
    <w:semiHidden/>
    <w:rsid w:val="00205235"/>
    <w:rPr>
      <w:sz w:val="20"/>
      <w:szCs w:val="20"/>
      <w:lang w:val="en-AU"/>
    </w:rPr>
  </w:style>
  <w:style w:type="paragraph" w:styleId="CommentSubject">
    <w:name w:val="annotation subject"/>
    <w:basedOn w:val="CommentText"/>
    <w:next w:val="CommentText"/>
    <w:link w:val="CommentSubjectChar"/>
    <w:uiPriority w:val="99"/>
    <w:semiHidden/>
    <w:unhideWhenUsed/>
    <w:rsid w:val="00205235"/>
    <w:rPr>
      <w:b/>
      <w:bCs/>
    </w:rPr>
  </w:style>
  <w:style w:type="character" w:customStyle="1" w:styleId="CommentSubjectChar">
    <w:name w:val="Comment Subject Char"/>
    <w:basedOn w:val="CommentTextChar"/>
    <w:link w:val="CommentSubject"/>
    <w:uiPriority w:val="99"/>
    <w:semiHidden/>
    <w:rsid w:val="00205235"/>
    <w:rPr>
      <w:b/>
      <w:bCs/>
      <w:sz w:val="20"/>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70C"/>
    <w:pPr>
      <w:spacing w:after="200" w:line="276" w:lineRule="auto"/>
    </w:pPr>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3270C"/>
    <w:pPr>
      <w:ind w:left="720"/>
      <w:contextualSpacing/>
    </w:pPr>
  </w:style>
  <w:style w:type="paragraph" w:customStyle="1" w:styleId="Default">
    <w:name w:val="Default"/>
    <w:rsid w:val="0013270C"/>
    <w:pPr>
      <w:widowControl w:val="0"/>
      <w:autoSpaceDE w:val="0"/>
      <w:autoSpaceDN w:val="0"/>
      <w:adjustRightInd w:val="0"/>
      <w:spacing w:after="0" w:line="240" w:lineRule="auto"/>
    </w:pPr>
    <w:rPr>
      <w:rFonts w:ascii="Arial" w:eastAsiaTheme="minorEastAsia" w:hAnsi="Arial" w:cs="Arial"/>
      <w:color w:val="000000"/>
      <w:sz w:val="24"/>
      <w:szCs w:val="24"/>
      <w:lang w:val="es-ES" w:eastAsia="es-ES"/>
    </w:rPr>
  </w:style>
  <w:style w:type="paragraph" w:styleId="FootnoteText">
    <w:name w:val="footnote text"/>
    <w:basedOn w:val="Normal"/>
    <w:link w:val="FootnoteTextChar"/>
    <w:uiPriority w:val="99"/>
    <w:semiHidden/>
    <w:unhideWhenUsed/>
    <w:rsid w:val="001327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270C"/>
    <w:rPr>
      <w:sz w:val="20"/>
      <w:szCs w:val="20"/>
      <w:lang w:val="en-AU"/>
    </w:rPr>
  </w:style>
  <w:style w:type="character" w:styleId="FootnoteReference">
    <w:name w:val="footnote reference"/>
    <w:basedOn w:val="DefaultParagraphFont"/>
    <w:uiPriority w:val="99"/>
    <w:semiHidden/>
    <w:unhideWhenUsed/>
    <w:rsid w:val="0013270C"/>
    <w:rPr>
      <w:vertAlign w:val="superscript"/>
    </w:rPr>
  </w:style>
  <w:style w:type="character" w:customStyle="1" w:styleId="ListParagraphChar">
    <w:name w:val="List Paragraph Char"/>
    <w:basedOn w:val="DefaultParagraphFont"/>
    <w:link w:val="ListParagraph"/>
    <w:uiPriority w:val="34"/>
    <w:locked/>
    <w:rsid w:val="0013270C"/>
    <w:rPr>
      <w:lang w:val="en-AU"/>
    </w:rPr>
  </w:style>
  <w:style w:type="paragraph" w:styleId="BalloonText">
    <w:name w:val="Balloon Text"/>
    <w:basedOn w:val="Normal"/>
    <w:link w:val="BalloonTextChar"/>
    <w:uiPriority w:val="99"/>
    <w:semiHidden/>
    <w:unhideWhenUsed/>
    <w:rsid w:val="00C01C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CB7"/>
    <w:rPr>
      <w:rFonts w:ascii="Segoe UI" w:hAnsi="Segoe UI" w:cs="Segoe UI"/>
      <w:sz w:val="18"/>
      <w:szCs w:val="18"/>
      <w:lang w:val="en-AU"/>
    </w:rPr>
  </w:style>
  <w:style w:type="character" w:styleId="CommentReference">
    <w:name w:val="annotation reference"/>
    <w:basedOn w:val="DefaultParagraphFont"/>
    <w:uiPriority w:val="99"/>
    <w:semiHidden/>
    <w:unhideWhenUsed/>
    <w:rsid w:val="00205235"/>
    <w:rPr>
      <w:sz w:val="16"/>
      <w:szCs w:val="16"/>
    </w:rPr>
  </w:style>
  <w:style w:type="paragraph" w:styleId="CommentText">
    <w:name w:val="annotation text"/>
    <w:basedOn w:val="Normal"/>
    <w:link w:val="CommentTextChar"/>
    <w:uiPriority w:val="99"/>
    <w:semiHidden/>
    <w:unhideWhenUsed/>
    <w:rsid w:val="00205235"/>
    <w:pPr>
      <w:spacing w:line="240" w:lineRule="auto"/>
    </w:pPr>
    <w:rPr>
      <w:sz w:val="20"/>
      <w:szCs w:val="20"/>
    </w:rPr>
  </w:style>
  <w:style w:type="character" w:customStyle="1" w:styleId="CommentTextChar">
    <w:name w:val="Comment Text Char"/>
    <w:basedOn w:val="DefaultParagraphFont"/>
    <w:link w:val="CommentText"/>
    <w:uiPriority w:val="99"/>
    <w:semiHidden/>
    <w:rsid w:val="00205235"/>
    <w:rPr>
      <w:sz w:val="20"/>
      <w:szCs w:val="20"/>
      <w:lang w:val="en-AU"/>
    </w:rPr>
  </w:style>
  <w:style w:type="paragraph" w:styleId="CommentSubject">
    <w:name w:val="annotation subject"/>
    <w:basedOn w:val="CommentText"/>
    <w:next w:val="CommentText"/>
    <w:link w:val="CommentSubjectChar"/>
    <w:uiPriority w:val="99"/>
    <w:semiHidden/>
    <w:unhideWhenUsed/>
    <w:rsid w:val="00205235"/>
    <w:rPr>
      <w:b/>
      <w:bCs/>
    </w:rPr>
  </w:style>
  <w:style w:type="character" w:customStyle="1" w:styleId="CommentSubjectChar">
    <w:name w:val="Comment Subject Char"/>
    <w:basedOn w:val="CommentTextChar"/>
    <w:link w:val="CommentSubject"/>
    <w:uiPriority w:val="99"/>
    <w:semiHidden/>
    <w:rsid w:val="00205235"/>
    <w:rPr>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56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3A4D1-086E-46DE-A4B3-E680659A2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2112</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Sonia Palmieri</dc:creator>
  <cp:lastModifiedBy>Benjamin Rae</cp:lastModifiedBy>
  <cp:revision>2</cp:revision>
  <cp:lastPrinted>2015-05-11T13:34:00Z</cp:lastPrinted>
  <dcterms:created xsi:type="dcterms:W3CDTF">2015-05-19T16:24:00Z</dcterms:created>
  <dcterms:modified xsi:type="dcterms:W3CDTF">2015-05-19T16:24:00Z</dcterms:modified>
</cp:coreProperties>
</file>